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3133E" w14:textId="77777777" w:rsidR="00E41B6F" w:rsidRDefault="008D1FA4">
      <w:pPr>
        <w:pBdr>
          <w:top w:val="nil"/>
          <w:left w:val="nil"/>
          <w:bottom w:val="nil"/>
          <w:right w:val="nil"/>
          <w:between w:val="nil"/>
        </w:pBdr>
        <w:spacing w:before="240" w:after="0" w:line="240" w:lineRule="auto"/>
        <w:rPr>
          <w:b/>
          <w:bCs/>
          <w:color w:val="666666"/>
          <w:sz w:val="30"/>
          <w:szCs w:val="30"/>
        </w:rPr>
      </w:pPr>
      <w:r>
        <w:rPr>
          <w:b/>
          <w:bCs/>
          <w:color w:val="666666"/>
          <w:sz w:val="30"/>
          <w:szCs w:val="30"/>
        </w:rPr>
        <w:t xml:space="preserve">LETI template response to </w:t>
      </w:r>
      <w:r>
        <w:rPr>
          <w:b/>
          <w:bCs/>
          <w:color w:val="666666"/>
          <w:sz w:val="30"/>
          <w:szCs w:val="30"/>
        </w:rPr>
        <w:t xml:space="preserve">NPPF </w:t>
      </w:r>
      <w:r>
        <w:rPr>
          <w:b/>
          <w:bCs/>
          <w:color w:val="666666"/>
          <w:sz w:val="30"/>
          <w:szCs w:val="30"/>
        </w:rPr>
        <w:t>c</w:t>
      </w:r>
      <w:r>
        <w:rPr>
          <w:b/>
          <w:bCs/>
          <w:color w:val="666666"/>
          <w:sz w:val="30"/>
          <w:szCs w:val="30"/>
        </w:rPr>
        <w:t xml:space="preserve">onsultation </w:t>
      </w:r>
    </w:p>
    <w:p w14:paraId="29160A8A" w14:textId="77777777" w:rsidR="00E41B6F" w:rsidRDefault="008D1FA4">
      <w:pPr>
        <w:pBdr>
          <w:top w:val="nil"/>
          <w:left w:val="nil"/>
          <w:bottom w:val="nil"/>
          <w:right w:val="nil"/>
          <w:between w:val="nil"/>
        </w:pBdr>
        <w:spacing w:before="0" w:after="0" w:line="240" w:lineRule="auto"/>
        <w:rPr>
          <w:b/>
          <w:bCs/>
          <w:color w:val="666666"/>
          <w:sz w:val="30"/>
          <w:szCs w:val="30"/>
        </w:rPr>
      </w:pPr>
      <w:r>
        <w:rPr>
          <w:b/>
          <w:bCs/>
          <w:color w:val="666666"/>
          <w:sz w:val="30"/>
          <w:szCs w:val="30"/>
        </w:rPr>
        <w:t>PM13 - Setting local standards</w:t>
      </w:r>
    </w:p>
    <w:p w14:paraId="4D9F21E1" w14:textId="77777777" w:rsidR="00E41B6F" w:rsidRDefault="008D1FA4" w:rsidP="008D1FA4">
      <w:pPr>
        <w:pBdr>
          <w:top w:val="nil"/>
          <w:left w:val="nil"/>
          <w:bottom w:val="nil"/>
          <w:right w:val="nil"/>
          <w:between w:val="nil"/>
        </w:pBdr>
        <w:spacing w:after="240" w:line="288" w:lineRule="auto"/>
        <w:rPr>
          <w:b/>
          <w:bCs/>
          <w:color w:val="019CDE"/>
          <w:sz w:val="19"/>
          <w:szCs w:val="19"/>
        </w:rPr>
      </w:pPr>
      <w:r>
        <w:rPr>
          <w:b/>
          <w:bCs/>
          <w:color w:val="019CDE"/>
          <w:sz w:val="26"/>
          <w:szCs w:val="26"/>
        </w:rPr>
        <w:t>Why we disagree with the proposal to prevent local authorities from setting local energy efficiency standards beyond the minimum requirements set in the building regulations.</w:t>
      </w:r>
    </w:p>
    <w:p w14:paraId="6CE39518" w14:textId="77777777" w:rsidR="00E41B6F" w:rsidRPr="008D1FA4" w:rsidRDefault="008D1FA4" w:rsidP="008D1FA4">
      <w:pPr>
        <w:spacing w:before="0" w:after="0"/>
        <w:rPr>
          <w:b/>
          <w:bCs/>
          <w:color w:val="1F1F1F"/>
          <w:sz w:val="20"/>
          <w:szCs w:val="20"/>
          <w:highlight w:val="white"/>
        </w:rPr>
      </w:pPr>
      <w:r w:rsidRPr="008D1FA4">
        <w:rPr>
          <w:b/>
          <w:bCs/>
          <w:color w:val="1F1F1F"/>
          <w:sz w:val="20"/>
          <w:szCs w:val="20"/>
          <w:highlight w:val="white"/>
        </w:rPr>
        <w:t>Summary</w:t>
      </w:r>
    </w:p>
    <w:p w14:paraId="71DBAA2F" w14:textId="77777777" w:rsidR="00E41B6F" w:rsidRPr="008D1FA4" w:rsidRDefault="008D1FA4" w:rsidP="008D1FA4">
      <w:pPr>
        <w:spacing w:before="0" w:after="0"/>
        <w:rPr>
          <w:color w:val="1F1F1F"/>
          <w:sz w:val="20"/>
          <w:szCs w:val="20"/>
          <w:highlight w:val="white"/>
        </w:rPr>
      </w:pPr>
      <w:r w:rsidRPr="008D1FA4">
        <w:rPr>
          <w:color w:val="1F1F1F"/>
          <w:sz w:val="20"/>
          <w:szCs w:val="20"/>
          <w:highlight w:val="white"/>
        </w:rPr>
        <w:t xml:space="preserve">The draft NPPF consultation (December 2025) proposes key policy changes; </w:t>
      </w:r>
      <w:r w:rsidRPr="008D1FA4">
        <w:rPr>
          <w:color w:val="1F1F1F"/>
          <w:sz w:val="20"/>
          <w:szCs w:val="20"/>
          <w:highlight w:val="white"/>
        </w:rPr>
        <w:t>several of which reference national policies that “</w:t>
      </w:r>
      <w:r w:rsidRPr="008D1FA4">
        <w:rPr>
          <w:i/>
          <w:iCs/>
          <w:color w:val="1F1F1F"/>
          <w:sz w:val="20"/>
          <w:szCs w:val="20"/>
          <w:highlight w:val="white"/>
        </w:rPr>
        <w:t>support the transition to net zero</w:t>
      </w:r>
      <w:r w:rsidRPr="008D1FA4">
        <w:rPr>
          <w:color w:val="1F1F1F"/>
          <w:sz w:val="20"/>
          <w:szCs w:val="20"/>
          <w:highlight w:val="white"/>
        </w:rPr>
        <w:t>” and highlight the imperative to “</w:t>
      </w:r>
      <w:r w:rsidRPr="008D1FA4">
        <w:rPr>
          <w:i/>
          <w:iCs/>
          <w:color w:val="1F1F1F"/>
          <w:sz w:val="20"/>
          <w:szCs w:val="20"/>
          <w:highlight w:val="white"/>
        </w:rPr>
        <w:t>mitigate and adapt to climate change</w:t>
      </w:r>
      <w:r w:rsidRPr="008D1FA4">
        <w:rPr>
          <w:color w:val="1F1F1F"/>
          <w:sz w:val="20"/>
          <w:szCs w:val="20"/>
          <w:highlight w:val="white"/>
        </w:rPr>
        <w:t>”. However, the draft NPPF also proposes with PM13 to restrict key Local Planning Authority powers t</w:t>
      </w:r>
      <w:r w:rsidRPr="008D1FA4">
        <w:rPr>
          <w:color w:val="1F1F1F"/>
          <w:sz w:val="20"/>
          <w:szCs w:val="20"/>
          <w:highlight w:val="white"/>
        </w:rPr>
        <w:t xml:space="preserve">hat enable them to set local standards </w:t>
      </w:r>
      <w:proofErr w:type="gramStart"/>
      <w:r w:rsidRPr="008D1FA4">
        <w:rPr>
          <w:color w:val="1F1F1F"/>
          <w:sz w:val="20"/>
          <w:szCs w:val="20"/>
          <w:highlight w:val="white"/>
        </w:rPr>
        <w:t>in order to</w:t>
      </w:r>
      <w:proofErr w:type="gramEnd"/>
      <w:r w:rsidRPr="008D1FA4">
        <w:rPr>
          <w:color w:val="1F1F1F"/>
          <w:sz w:val="20"/>
          <w:szCs w:val="20"/>
          <w:highlight w:val="white"/>
        </w:rPr>
        <w:t xml:space="preserve"> achieve these overarching aims.</w:t>
      </w:r>
    </w:p>
    <w:p w14:paraId="131CBFA5" w14:textId="77777777" w:rsidR="00E41B6F" w:rsidRPr="008D1FA4" w:rsidRDefault="008D1FA4" w:rsidP="008D1FA4">
      <w:pPr>
        <w:spacing w:before="240"/>
        <w:rPr>
          <w:sz w:val="20"/>
          <w:szCs w:val="20"/>
        </w:rPr>
      </w:pPr>
      <w:r w:rsidRPr="008D1FA4">
        <w:rPr>
          <w:b/>
          <w:bCs/>
          <w:sz w:val="20"/>
          <w:szCs w:val="20"/>
        </w:rPr>
        <w:t>If the proposal set out in PM13 is implemented, it will be damaging locally and nationally and will impact residents (especially the most vulnerable):</w:t>
      </w:r>
    </w:p>
    <w:p w14:paraId="50F0C614" w14:textId="77777777" w:rsidR="00E41B6F" w:rsidRPr="008D1FA4" w:rsidRDefault="008D1FA4" w:rsidP="008D1FA4">
      <w:pPr>
        <w:numPr>
          <w:ilvl w:val="0"/>
          <w:numId w:val="4"/>
        </w:numPr>
        <w:spacing w:before="0" w:after="0"/>
        <w:ind w:right="-152"/>
        <w:rPr>
          <w:sz w:val="20"/>
          <w:szCs w:val="20"/>
        </w:rPr>
      </w:pPr>
      <w:r w:rsidRPr="008D1FA4">
        <w:rPr>
          <w:sz w:val="20"/>
          <w:szCs w:val="20"/>
        </w:rPr>
        <w:t xml:space="preserve">It will prevent Local </w:t>
      </w:r>
      <w:r w:rsidRPr="008D1FA4">
        <w:rPr>
          <w:sz w:val="20"/>
          <w:szCs w:val="20"/>
        </w:rPr>
        <w:t>Authorities from using policy to reduce energy bills for residents (particularly necessary for affordable homes) and deliver other co-benefits (</w:t>
      </w:r>
      <w:proofErr w:type="gramStart"/>
      <w:r w:rsidRPr="008D1FA4">
        <w:rPr>
          <w:sz w:val="20"/>
          <w:szCs w:val="20"/>
        </w:rPr>
        <w:t>e.g.</w:t>
      </w:r>
      <w:proofErr w:type="gramEnd"/>
      <w:r w:rsidRPr="008D1FA4">
        <w:rPr>
          <w:sz w:val="20"/>
          <w:szCs w:val="20"/>
        </w:rPr>
        <w:t xml:space="preserve"> air quality).</w:t>
      </w:r>
    </w:p>
    <w:p w14:paraId="3FEBBC64" w14:textId="77777777" w:rsidR="00E41B6F" w:rsidRPr="008D1FA4" w:rsidRDefault="008D1FA4" w:rsidP="008D1FA4">
      <w:pPr>
        <w:numPr>
          <w:ilvl w:val="0"/>
          <w:numId w:val="4"/>
        </w:numPr>
        <w:spacing w:before="0" w:after="0"/>
        <w:rPr>
          <w:sz w:val="20"/>
          <w:szCs w:val="20"/>
        </w:rPr>
      </w:pPr>
      <w:r w:rsidRPr="008D1FA4">
        <w:rPr>
          <w:sz w:val="20"/>
          <w:szCs w:val="20"/>
        </w:rPr>
        <w:t>It conflicts with Local Authorities’ statutory climate change duties, will prevent them meeti</w:t>
      </w:r>
      <w:r w:rsidRPr="008D1FA4">
        <w:rPr>
          <w:sz w:val="20"/>
          <w:szCs w:val="20"/>
        </w:rPr>
        <w:t>ng local carbon budgets and slow down Local Plan making by causing confusion.</w:t>
      </w:r>
    </w:p>
    <w:p w14:paraId="51A71AF9" w14:textId="77777777" w:rsidR="00E41B6F" w:rsidRPr="008D1FA4" w:rsidRDefault="008D1FA4" w:rsidP="008D1FA4">
      <w:pPr>
        <w:numPr>
          <w:ilvl w:val="0"/>
          <w:numId w:val="4"/>
        </w:numPr>
        <w:spacing w:before="0" w:after="0"/>
        <w:rPr>
          <w:sz w:val="20"/>
          <w:szCs w:val="20"/>
        </w:rPr>
      </w:pPr>
      <w:r w:rsidRPr="008D1FA4">
        <w:rPr>
          <w:sz w:val="20"/>
          <w:szCs w:val="20"/>
        </w:rPr>
        <w:t>It will undermine local democracy and the Government’s devolution agenda.</w:t>
      </w:r>
    </w:p>
    <w:p w14:paraId="12C2A9B6" w14:textId="77777777" w:rsidR="00E41B6F" w:rsidRPr="008D1FA4" w:rsidRDefault="008D1FA4" w:rsidP="008D1FA4">
      <w:pPr>
        <w:numPr>
          <w:ilvl w:val="0"/>
          <w:numId w:val="4"/>
        </w:numPr>
        <w:spacing w:before="0" w:after="0"/>
        <w:rPr>
          <w:sz w:val="20"/>
          <w:szCs w:val="20"/>
        </w:rPr>
      </w:pPr>
      <w:r w:rsidRPr="008D1FA4">
        <w:rPr>
          <w:sz w:val="20"/>
          <w:szCs w:val="20"/>
        </w:rPr>
        <w:t>It will negatively impact policies across other areas of sustainable development such as embodied carbon and climate change resilience.</w:t>
      </w:r>
    </w:p>
    <w:p w14:paraId="50F56A22" w14:textId="5AA1B9C8" w:rsidR="00E41B6F" w:rsidRPr="008D1FA4" w:rsidRDefault="008D1FA4" w:rsidP="008D1FA4">
      <w:pPr>
        <w:numPr>
          <w:ilvl w:val="0"/>
          <w:numId w:val="4"/>
        </w:numPr>
        <w:spacing w:before="0" w:after="0"/>
        <w:rPr>
          <w:sz w:val="20"/>
          <w:szCs w:val="20"/>
        </w:rPr>
      </w:pPr>
      <w:r w:rsidRPr="008D1FA4">
        <w:rPr>
          <w:sz w:val="20"/>
          <w:szCs w:val="20"/>
        </w:rPr>
        <w:t>It would constrain development by reducing Local Authorities’</w:t>
      </w:r>
      <w:r w:rsidRPr="008D1FA4">
        <w:rPr>
          <w:sz w:val="20"/>
          <w:szCs w:val="20"/>
        </w:rPr>
        <w:t xml:space="preserve"> ability to address local issues including grid capacity a</w:t>
      </w:r>
      <w:r w:rsidRPr="008D1FA4">
        <w:rPr>
          <w:sz w:val="20"/>
          <w:szCs w:val="20"/>
        </w:rPr>
        <w:t>nd energy infrastructure planning.</w:t>
      </w:r>
    </w:p>
    <w:p w14:paraId="71F56AF9" w14:textId="77777777" w:rsidR="00E41B6F" w:rsidRPr="008D1FA4" w:rsidRDefault="008D1FA4" w:rsidP="008D1FA4">
      <w:pPr>
        <w:numPr>
          <w:ilvl w:val="0"/>
          <w:numId w:val="4"/>
        </w:numPr>
        <w:spacing w:before="0"/>
        <w:rPr>
          <w:sz w:val="20"/>
          <w:szCs w:val="20"/>
        </w:rPr>
      </w:pPr>
      <w:r w:rsidRPr="008D1FA4">
        <w:rPr>
          <w:sz w:val="20"/>
          <w:szCs w:val="20"/>
        </w:rPr>
        <w:t>It would reduce community support for development in key growth areas.</w:t>
      </w:r>
    </w:p>
    <w:p w14:paraId="6F15BD61" w14:textId="77777777" w:rsidR="00E41B6F" w:rsidRPr="008D1FA4" w:rsidRDefault="008D1FA4" w:rsidP="008D1FA4">
      <w:pPr>
        <w:spacing w:before="240"/>
        <w:rPr>
          <w:b/>
          <w:bCs/>
          <w:sz w:val="20"/>
          <w:szCs w:val="20"/>
        </w:rPr>
      </w:pPr>
      <w:r w:rsidRPr="008D1FA4">
        <w:rPr>
          <w:b/>
          <w:bCs/>
          <w:sz w:val="20"/>
          <w:szCs w:val="20"/>
        </w:rPr>
        <w:t xml:space="preserve">We are also concerned about the lack of justification and evidence provided to explain why PM13 is proposed. </w:t>
      </w:r>
    </w:p>
    <w:p w14:paraId="300F13DF" w14:textId="77777777" w:rsidR="00E41B6F" w:rsidRPr="008D1FA4" w:rsidRDefault="008D1FA4" w:rsidP="008D1FA4">
      <w:pPr>
        <w:numPr>
          <w:ilvl w:val="0"/>
          <w:numId w:val="2"/>
        </w:numPr>
        <w:spacing w:before="0" w:after="0"/>
        <w:rPr>
          <w:sz w:val="20"/>
          <w:szCs w:val="20"/>
        </w:rPr>
      </w:pPr>
      <w:r w:rsidRPr="008D1FA4">
        <w:rPr>
          <w:sz w:val="20"/>
          <w:szCs w:val="20"/>
        </w:rPr>
        <w:t xml:space="preserve">The impact of PM13 on carbon emissions, </w:t>
      </w:r>
      <w:proofErr w:type="gramStart"/>
      <w:r w:rsidRPr="008D1FA4">
        <w:rPr>
          <w:sz w:val="20"/>
          <w:szCs w:val="20"/>
        </w:rPr>
        <w:t>equality</w:t>
      </w:r>
      <w:proofErr w:type="gramEnd"/>
      <w:r w:rsidRPr="008D1FA4">
        <w:rPr>
          <w:sz w:val="20"/>
          <w:szCs w:val="20"/>
        </w:rPr>
        <w:t xml:space="preserve"> and health, has not been assessed and shared publicly.</w:t>
      </w:r>
    </w:p>
    <w:p w14:paraId="4D7A1F90" w14:textId="77777777" w:rsidR="00E41B6F" w:rsidRPr="008D1FA4" w:rsidRDefault="008D1FA4" w:rsidP="008D1FA4">
      <w:pPr>
        <w:numPr>
          <w:ilvl w:val="0"/>
          <w:numId w:val="2"/>
        </w:numPr>
        <w:spacing w:before="0" w:after="0"/>
        <w:rPr>
          <w:sz w:val="20"/>
          <w:szCs w:val="20"/>
        </w:rPr>
      </w:pPr>
      <w:r w:rsidRPr="008D1FA4">
        <w:rPr>
          <w:sz w:val="20"/>
          <w:szCs w:val="20"/>
        </w:rPr>
        <w:t xml:space="preserve">PM13 states that there is a wide variance </w:t>
      </w:r>
      <w:r w:rsidRPr="008D1FA4">
        <w:rPr>
          <w:sz w:val="20"/>
          <w:szCs w:val="20"/>
        </w:rPr>
        <w:t xml:space="preserve">in local energy efficiency standards. However, all recently adopted local policies use the same energy metrics, which are also the industry preference due to their transparency and simplicity. </w:t>
      </w:r>
    </w:p>
    <w:p w14:paraId="6119B113" w14:textId="77777777" w:rsidR="00E41B6F" w:rsidRPr="008D1FA4" w:rsidRDefault="008D1FA4" w:rsidP="008D1FA4">
      <w:pPr>
        <w:numPr>
          <w:ilvl w:val="0"/>
          <w:numId w:val="2"/>
        </w:numPr>
        <w:spacing w:before="0" w:after="0"/>
        <w:rPr>
          <w:sz w:val="20"/>
          <w:szCs w:val="20"/>
        </w:rPr>
      </w:pPr>
      <w:r w:rsidRPr="008D1FA4">
        <w:rPr>
          <w:sz w:val="20"/>
          <w:szCs w:val="20"/>
        </w:rPr>
        <w:t>There is no evidence that local standards create viability iss</w:t>
      </w:r>
      <w:r w:rsidRPr="008D1FA4">
        <w:rPr>
          <w:sz w:val="20"/>
          <w:szCs w:val="20"/>
        </w:rPr>
        <w:t xml:space="preserve">ues or that they affect the delivery of housing. </w:t>
      </w:r>
    </w:p>
    <w:p w14:paraId="31AB16F8" w14:textId="77777777" w:rsidR="00E41B6F" w:rsidRPr="008D1FA4" w:rsidRDefault="008D1FA4" w:rsidP="008D1FA4">
      <w:pPr>
        <w:numPr>
          <w:ilvl w:val="0"/>
          <w:numId w:val="2"/>
        </w:numPr>
        <w:spacing w:before="0" w:after="240"/>
        <w:rPr>
          <w:sz w:val="20"/>
          <w:szCs w:val="20"/>
        </w:rPr>
      </w:pPr>
      <w:r w:rsidRPr="008D1FA4">
        <w:rPr>
          <w:sz w:val="20"/>
          <w:szCs w:val="20"/>
        </w:rPr>
        <w:t>Contrary to the justification used, local energy efficiency standards do not prevent the deployment of energy efficiency measures. In fact, PM13 would be an unnecessary blocker to the innovations already be</w:t>
      </w:r>
      <w:r w:rsidRPr="008D1FA4">
        <w:rPr>
          <w:sz w:val="20"/>
          <w:szCs w:val="20"/>
        </w:rPr>
        <w:t xml:space="preserve">ing delivered to </w:t>
      </w:r>
      <w:proofErr w:type="spellStart"/>
      <w:r w:rsidRPr="008D1FA4">
        <w:rPr>
          <w:sz w:val="20"/>
          <w:szCs w:val="20"/>
        </w:rPr>
        <w:t>decarbonise</w:t>
      </w:r>
      <w:proofErr w:type="spellEnd"/>
      <w:r w:rsidRPr="008D1FA4">
        <w:rPr>
          <w:sz w:val="20"/>
          <w:szCs w:val="20"/>
        </w:rPr>
        <w:t xml:space="preserve"> the construction industry.</w:t>
      </w:r>
    </w:p>
    <w:p w14:paraId="0B9D059C" w14:textId="77777777" w:rsidR="00E41B6F" w:rsidRDefault="008D1FA4" w:rsidP="008D1FA4">
      <w:pPr>
        <w:spacing w:before="0"/>
        <w:rPr>
          <w:b/>
          <w:bCs/>
          <w:color w:val="019CDE"/>
          <w:sz w:val="27"/>
          <w:szCs w:val="27"/>
        </w:rPr>
      </w:pPr>
      <w:r w:rsidRPr="008D1FA4">
        <w:rPr>
          <w:b/>
          <w:bCs/>
          <w:sz w:val="20"/>
          <w:szCs w:val="20"/>
        </w:rPr>
        <w:t>There is a simple win-win alternative to PM13: enable local authorities to adopt an ‘optional’ standard based on energy metrics.</w:t>
      </w:r>
      <w:r w:rsidRPr="008D1FA4">
        <w:rPr>
          <w:sz w:val="20"/>
          <w:szCs w:val="20"/>
        </w:rPr>
        <w:t xml:space="preserve"> This would be </w:t>
      </w:r>
      <w:proofErr w:type="gramStart"/>
      <w:r w:rsidRPr="008D1FA4">
        <w:rPr>
          <w:sz w:val="20"/>
          <w:szCs w:val="20"/>
        </w:rPr>
        <w:t>similar to</w:t>
      </w:r>
      <w:proofErr w:type="gramEnd"/>
      <w:r w:rsidRPr="008D1FA4">
        <w:rPr>
          <w:sz w:val="20"/>
          <w:szCs w:val="20"/>
        </w:rPr>
        <w:t xml:space="preserve"> the approach to water efficiency standards alr</w:t>
      </w:r>
      <w:r w:rsidRPr="008D1FA4">
        <w:rPr>
          <w:sz w:val="20"/>
          <w:szCs w:val="20"/>
        </w:rPr>
        <w:t xml:space="preserve">eady allowed. </w:t>
      </w:r>
      <w:r w:rsidRPr="008D1FA4">
        <w:rPr>
          <w:b/>
          <w:bCs/>
          <w:sz w:val="20"/>
          <w:szCs w:val="20"/>
        </w:rPr>
        <w:t>We would support this alternative.</w:t>
      </w:r>
      <w:r>
        <w:br w:type="page"/>
      </w:r>
      <w:r>
        <w:rPr>
          <w:b/>
          <w:bCs/>
          <w:color w:val="019CDE"/>
          <w:sz w:val="27"/>
          <w:szCs w:val="27"/>
        </w:rPr>
        <w:lastRenderedPageBreak/>
        <w:t xml:space="preserve">PM13 introduces significant issues and risks </w:t>
      </w:r>
    </w:p>
    <w:p w14:paraId="21ECD929" w14:textId="77777777" w:rsidR="00E41B6F" w:rsidRPr="008D1FA4" w:rsidRDefault="008D1FA4" w:rsidP="008D1FA4">
      <w:pPr>
        <w:spacing w:before="0"/>
        <w:rPr>
          <w:sz w:val="20"/>
          <w:szCs w:val="20"/>
        </w:rPr>
      </w:pPr>
      <w:r w:rsidRPr="008D1FA4">
        <w:rPr>
          <w:sz w:val="20"/>
          <w:szCs w:val="20"/>
        </w:rPr>
        <w:t>PM13, if implemented, will be damaging locally and nationally and will impact residents (especially the most vulnerable):</w:t>
      </w:r>
    </w:p>
    <w:p w14:paraId="1653C92C" w14:textId="77777777" w:rsidR="00E41B6F" w:rsidRPr="008D1FA4" w:rsidRDefault="008D1FA4" w:rsidP="008D1FA4">
      <w:pPr>
        <w:numPr>
          <w:ilvl w:val="0"/>
          <w:numId w:val="1"/>
        </w:numPr>
        <w:spacing w:before="0"/>
        <w:rPr>
          <w:b/>
          <w:bCs/>
          <w:sz w:val="20"/>
          <w:szCs w:val="20"/>
        </w:rPr>
      </w:pPr>
      <w:r w:rsidRPr="008D1FA4">
        <w:rPr>
          <w:b/>
          <w:bCs/>
          <w:sz w:val="20"/>
          <w:szCs w:val="20"/>
        </w:rPr>
        <w:t>PM13 will prevent Local Authorities fro</w:t>
      </w:r>
      <w:r w:rsidRPr="008D1FA4">
        <w:rPr>
          <w:b/>
          <w:bCs/>
          <w:sz w:val="20"/>
          <w:szCs w:val="20"/>
        </w:rPr>
        <w:t>m using policy to reduce energy bills for residents and deliver co-benefits (</w:t>
      </w:r>
      <w:proofErr w:type="gramStart"/>
      <w:r w:rsidRPr="008D1FA4">
        <w:rPr>
          <w:b/>
          <w:bCs/>
          <w:sz w:val="20"/>
          <w:szCs w:val="20"/>
        </w:rPr>
        <w:t>e.g.</w:t>
      </w:r>
      <w:proofErr w:type="gramEnd"/>
      <w:r w:rsidRPr="008D1FA4">
        <w:rPr>
          <w:b/>
          <w:bCs/>
          <w:sz w:val="20"/>
          <w:szCs w:val="20"/>
        </w:rPr>
        <w:t xml:space="preserve"> air quality)</w:t>
      </w:r>
    </w:p>
    <w:p w14:paraId="27595735" w14:textId="77777777" w:rsidR="00E41B6F" w:rsidRPr="008D1FA4" w:rsidRDefault="008D1FA4" w:rsidP="008D1FA4">
      <w:pPr>
        <w:spacing w:before="0"/>
        <w:rPr>
          <w:sz w:val="20"/>
          <w:szCs w:val="20"/>
        </w:rPr>
      </w:pPr>
      <w:r w:rsidRPr="008D1FA4">
        <w:rPr>
          <w:sz w:val="20"/>
          <w:szCs w:val="20"/>
        </w:rPr>
        <w:t xml:space="preserve">The cost of energy has been highly volatile and is unlikely to reduce. Vulnerable populations, particularly those with health conditions, are disproportionately </w:t>
      </w:r>
      <w:r w:rsidRPr="008D1FA4">
        <w:rPr>
          <w:sz w:val="20"/>
          <w:szCs w:val="20"/>
        </w:rPr>
        <w:t>less able to pay for energy to meet their daily needs.  While the Future Homes Standard is expected to mark a shift away from fossil fuel heating, local authorities should retain the ability to test its efficiency outcomes against locally specific factors.</w:t>
      </w:r>
      <w:r w:rsidRPr="008D1FA4">
        <w:rPr>
          <w:sz w:val="20"/>
          <w:szCs w:val="20"/>
        </w:rPr>
        <w:t xml:space="preserve"> In particular, when it is viable to do so, local authorities should be able to set higher energy efficiency standards which will also have co-benefits (</w:t>
      </w:r>
      <w:proofErr w:type="gramStart"/>
      <w:r w:rsidRPr="008D1FA4">
        <w:rPr>
          <w:sz w:val="20"/>
          <w:szCs w:val="20"/>
        </w:rPr>
        <w:t>e.g.</w:t>
      </w:r>
      <w:proofErr w:type="gramEnd"/>
      <w:r w:rsidRPr="008D1FA4">
        <w:rPr>
          <w:sz w:val="20"/>
          <w:szCs w:val="20"/>
        </w:rPr>
        <w:t xml:space="preserve"> indoor air quality). Without this lever local authorities will be prevented from using policy to h</w:t>
      </w:r>
      <w:r w:rsidRPr="008D1FA4">
        <w:rPr>
          <w:sz w:val="20"/>
          <w:szCs w:val="20"/>
        </w:rPr>
        <w:t>elp residents reduce energy costs and address local air pollution issues, beyond Building Regulations (a minimum performance requirement set at the national level without considerations of specific social and environmental circumstances, including vulnerab</w:t>
      </w:r>
      <w:r w:rsidRPr="008D1FA4">
        <w:rPr>
          <w:sz w:val="20"/>
          <w:szCs w:val="20"/>
        </w:rPr>
        <w:t>ility to fuel poverty and local air‑quality pressures). Where it can be proven locally that higher standards are viable and feasible for developers it should be possible to dramatically ease the cost‑of‑living pressures for UK citizens. Our analysis sugges</w:t>
      </w:r>
      <w:r w:rsidRPr="008D1FA4">
        <w:rPr>
          <w:sz w:val="20"/>
          <w:szCs w:val="20"/>
        </w:rPr>
        <w:t>ts that this could save £240 a year for residents living in semi-detached house.</w:t>
      </w:r>
    </w:p>
    <w:p w14:paraId="297344E7" w14:textId="77777777" w:rsidR="00E41B6F" w:rsidRPr="008D1FA4" w:rsidRDefault="00E41B6F" w:rsidP="008D1FA4">
      <w:pPr>
        <w:spacing w:before="0"/>
        <w:rPr>
          <w:sz w:val="20"/>
          <w:szCs w:val="20"/>
        </w:rPr>
      </w:pPr>
    </w:p>
    <w:p w14:paraId="462711AF" w14:textId="77777777" w:rsidR="00E41B6F" w:rsidRPr="008D1FA4" w:rsidRDefault="008D1FA4" w:rsidP="008D1FA4">
      <w:pPr>
        <w:numPr>
          <w:ilvl w:val="0"/>
          <w:numId w:val="1"/>
        </w:numPr>
        <w:spacing w:before="0"/>
        <w:rPr>
          <w:b/>
          <w:bCs/>
          <w:sz w:val="20"/>
          <w:szCs w:val="20"/>
        </w:rPr>
      </w:pPr>
      <w:r w:rsidRPr="008D1FA4">
        <w:rPr>
          <w:b/>
          <w:bCs/>
          <w:sz w:val="20"/>
          <w:szCs w:val="20"/>
        </w:rPr>
        <w:t>PM13 conflicts with Local Authorities’ statutory climate change duties, will prevent them meeting local carbon budgets and slow down Local Plan making by causing confusion</w:t>
      </w:r>
    </w:p>
    <w:p w14:paraId="63DE3027" w14:textId="77777777" w:rsidR="00E41B6F" w:rsidRPr="008D1FA4" w:rsidRDefault="008D1FA4" w:rsidP="008D1FA4">
      <w:pPr>
        <w:spacing w:before="0"/>
        <w:rPr>
          <w:color w:val="FF0000"/>
          <w:sz w:val="20"/>
          <w:szCs w:val="20"/>
        </w:rPr>
      </w:pPr>
      <w:r w:rsidRPr="008D1FA4">
        <w:rPr>
          <w:sz w:val="20"/>
          <w:szCs w:val="20"/>
        </w:rPr>
        <w:t>Th</w:t>
      </w:r>
      <w:r w:rsidRPr="008D1FA4">
        <w:rPr>
          <w:sz w:val="20"/>
          <w:szCs w:val="20"/>
        </w:rPr>
        <w:t>e December 2025 consultation draft NPPF states that one purpose of the planning system is to “</w:t>
      </w:r>
      <w:r w:rsidRPr="008D1FA4">
        <w:rPr>
          <w:i/>
          <w:iCs/>
          <w:sz w:val="20"/>
          <w:szCs w:val="20"/>
        </w:rPr>
        <w:t>mitigate and adapt to climate change</w:t>
      </w:r>
      <w:r w:rsidRPr="008D1FA4">
        <w:rPr>
          <w:sz w:val="20"/>
          <w:szCs w:val="20"/>
        </w:rPr>
        <w:t>”. The consultation document lists 12 key policy changes; several of them reference key National Policies that “support the tr</w:t>
      </w:r>
      <w:r w:rsidRPr="008D1FA4">
        <w:rPr>
          <w:sz w:val="20"/>
          <w:szCs w:val="20"/>
        </w:rPr>
        <w:t xml:space="preserve">ansition to net zero”, prepare local plans </w:t>
      </w:r>
      <w:proofErr w:type="gramStart"/>
      <w:r w:rsidRPr="008D1FA4">
        <w:rPr>
          <w:sz w:val="20"/>
          <w:szCs w:val="20"/>
        </w:rPr>
        <w:t>to  mitigate</w:t>
      </w:r>
      <w:proofErr w:type="gramEnd"/>
      <w:r w:rsidRPr="008D1FA4">
        <w:rPr>
          <w:sz w:val="20"/>
          <w:szCs w:val="20"/>
        </w:rPr>
        <w:t xml:space="preserve"> climate change, support local economic growth and ensure high quality, robust, resilient built environment design.</w:t>
      </w:r>
    </w:p>
    <w:p w14:paraId="5DEA303E" w14:textId="77777777" w:rsidR="00E41B6F" w:rsidRPr="008D1FA4" w:rsidRDefault="008D1FA4" w:rsidP="008D1FA4">
      <w:pPr>
        <w:numPr>
          <w:ilvl w:val="0"/>
          <w:numId w:val="5"/>
        </w:numPr>
        <w:spacing w:before="0" w:after="0"/>
        <w:rPr>
          <w:sz w:val="20"/>
          <w:szCs w:val="20"/>
        </w:rPr>
      </w:pPr>
      <w:r w:rsidRPr="008D1FA4">
        <w:rPr>
          <w:sz w:val="20"/>
          <w:szCs w:val="20"/>
        </w:rPr>
        <w:t>CC2 Mitigation of climate change</w:t>
      </w:r>
    </w:p>
    <w:p w14:paraId="7C499FD3" w14:textId="77777777" w:rsidR="00E41B6F" w:rsidRPr="008D1FA4" w:rsidRDefault="008D1FA4" w:rsidP="008D1FA4">
      <w:pPr>
        <w:numPr>
          <w:ilvl w:val="0"/>
          <w:numId w:val="5"/>
        </w:numPr>
        <w:spacing w:before="0" w:after="0"/>
        <w:rPr>
          <w:sz w:val="20"/>
          <w:szCs w:val="20"/>
        </w:rPr>
      </w:pPr>
      <w:r w:rsidRPr="008D1FA4">
        <w:rPr>
          <w:sz w:val="20"/>
          <w:szCs w:val="20"/>
        </w:rPr>
        <w:t>CC3 Adaptation to climate change</w:t>
      </w:r>
    </w:p>
    <w:p w14:paraId="2F8551AC" w14:textId="77777777" w:rsidR="00E41B6F" w:rsidRPr="008D1FA4" w:rsidRDefault="008D1FA4" w:rsidP="008D1FA4">
      <w:pPr>
        <w:numPr>
          <w:ilvl w:val="0"/>
          <w:numId w:val="5"/>
        </w:numPr>
        <w:spacing w:before="0" w:after="0"/>
        <w:rPr>
          <w:sz w:val="20"/>
          <w:szCs w:val="20"/>
        </w:rPr>
      </w:pPr>
      <w:r w:rsidRPr="008D1FA4">
        <w:rPr>
          <w:sz w:val="20"/>
          <w:szCs w:val="20"/>
        </w:rPr>
        <w:t>S1 Positive plan-ma</w:t>
      </w:r>
      <w:r w:rsidRPr="008D1FA4">
        <w:rPr>
          <w:sz w:val="20"/>
          <w:szCs w:val="20"/>
        </w:rPr>
        <w:t>king</w:t>
      </w:r>
    </w:p>
    <w:p w14:paraId="289AFC3E" w14:textId="77777777" w:rsidR="00E41B6F" w:rsidRPr="008D1FA4" w:rsidRDefault="008D1FA4" w:rsidP="008D1FA4">
      <w:pPr>
        <w:numPr>
          <w:ilvl w:val="0"/>
          <w:numId w:val="5"/>
        </w:numPr>
        <w:spacing w:before="0"/>
        <w:rPr>
          <w:sz w:val="20"/>
          <w:szCs w:val="20"/>
        </w:rPr>
      </w:pPr>
      <w:r w:rsidRPr="008D1FA4">
        <w:rPr>
          <w:sz w:val="20"/>
          <w:szCs w:val="20"/>
        </w:rPr>
        <w:t xml:space="preserve">DP3 Key principles for </w:t>
      </w:r>
      <w:proofErr w:type="spellStart"/>
      <w:r w:rsidRPr="008D1FA4">
        <w:rPr>
          <w:sz w:val="20"/>
          <w:szCs w:val="20"/>
        </w:rPr>
        <w:t>well designed</w:t>
      </w:r>
      <w:proofErr w:type="spellEnd"/>
      <w:r w:rsidRPr="008D1FA4">
        <w:rPr>
          <w:sz w:val="20"/>
          <w:szCs w:val="20"/>
        </w:rPr>
        <w:t xml:space="preserve"> places</w:t>
      </w:r>
    </w:p>
    <w:p w14:paraId="5CCB984F" w14:textId="77777777" w:rsidR="00E41B6F" w:rsidRPr="008D1FA4" w:rsidRDefault="008D1FA4" w:rsidP="008D1FA4">
      <w:pPr>
        <w:spacing w:before="0"/>
        <w:rPr>
          <w:sz w:val="20"/>
          <w:szCs w:val="20"/>
        </w:rPr>
      </w:pPr>
      <w:r w:rsidRPr="008D1FA4">
        <w:rPr>
          <w:sz w:val="20"/>
          <w:szCs w:val="20"/>
        </w:rPr>
        <w:t xml:space="preserve">As drafted, PM13 prevents LPAs from fulfilling </w:t>
      </w:r>
      <w:proofErr w:type="gramStart"/>
      <w:r w:rsidRPr="008D1FA4">
        <w:rPr>
          <w:sz w:val="20"/>
          <w:szCs w:val="20"/>
        </w:rPr>
        <w:t>their  legal</w:t>
      </w:r>
      <w:proofErr w:type="gramEnd"/>
      <w:r w:rsidRPr="008D1FA4">
        <w:rPr>
          <w:sz w:val="20"/>
          <w:szCs w:val="20"/>
        </w:rPr>
        <w:t xml:space="preserve"> duties. It states that “quantitative standards set through development plan policies should be limited to infrastructure provision, affordable hous</w:t>
      </w:r>
      <w:r w:rsidRPr="008D1FA4">
        <w:rPr>
          <w:sz w:val="20"/>
          <w:szCs w:val="20"/>
        </w:rPr>
        <w:t>ing requirements, parking” and “Not cover matters which are already addressed by Building Regulations.” As drafted, it does not align with or support the wider NPPF purpose and is inconsistent with the Government's Design and Placemaking Practice Guidance,</w:t>
      </w:r>
      <w:r w:rsidRPr="008D1FA4">
        <w:rPr>
          <w:sz w:val="20"/>
          <w:szCs w:val="20"/>
        </w:rPr>
        <w:t xml:space="preserve"> which has a much stronger emphasis on the need to address climate change impacts. It conflicts with statutory climate duties placed on local authorities and creates confusion.</w:t>
      </w:r>
    </w:p>
    <w:p w14:paraId="099EFAF9" w14:textId="77777777" w:rsidR="00E41B6F" w:rsidRPr="008D1FA4" w:rsidRDefault="008D1FA4" w:rsidP="008D1FA4">
      <w:pPr>
        <w:spacing w:before="0"/>
        <w:rPr>
          <w:sz w:val="20"/>
          <w:szCs w:val="20"/>
        </w:rPr>
      </w:pPr>
      <w:r w:rsidRPr="008D1FA4">
        <w:rPr>
          <w:sz w:val="20"/>
          <w:szCs w:val="20"/>
        </w:rPr>
        <w:t xml:space="preserve">While the Climate Change Act does not legislate sectoral limits, all sectors </w:t>
      </w:r>
      <w:proofErr w:type="gramStart"/>
      <w:r w:rsidRPr="008D1FA4">
        <w:rPr>
          <w:sz w:val="20"/>
          <w:szCs w:val="20"/>
        </w:rPr>
        <w:t>ha</w:t>
      </w:r>
      <w:r w:rsidRPr="008D1FA4">
        <w:rPr>
          <w:sz w:val="20"/>
          <w:szCs w:val="20"/>
        </w:rPr>
        <w:t>ve to</w:t>
      </w:r>
      <w:proofErr w:type="gramEnd"/>
      <w:r w:rsidRPr="008D1FA4">
        <w:rPr>
          <w:sz w:val="20"/>
          <w:szCs w:val="20"/>
        </w:rPr>
        <w:t xml:space="preserve"> significantly reduce emissions. Analysis supporting the 6th and 7th Carbon Budgets shows that the buildings sector will need to reach close to zero carbon in the 2040s without offsetting. </w:t>
      </w:r>
    </w:p>
    <w:p w14:paraId="330EE7FE" w14:textId="77777777" w:rsidR="00E41B6F" w:rsidRPr="008D1FA4" w:rsidRDefault="008D1FA4" w:rsidP="008D1FA4">
      <w:pPr>
        <w:spacing w:before="0"/>
        <w:rPr>
          <w:sz w:val="20"/>
          <w:szCs w:val="20"/>
        </w:rPr>
      </w:pPr>
      <w:proofErr w:type="gramStart"/>
      <w:r w:rsidRPr="008D1FA4">
        <w:rPr>
          <w:sz w:val="20"/>
          <w:szCs w:val="20"/>
        </w:rPr>
        <w:t>A number of</w:t>
      </w:r>
      <w:proofErr w:type="gramEnd"/>
      <w:r w:rsidRPr="008D1FA4">
        <w:rPr>
          <w:sz w:val="20"/>
          <w:szCs w:val="20"/>
        </w:rPr>
        <w:t xml:space="preserve"> Local Authorities have Net Zero targets ahead of the national 2050 target and PM13 would remove their ability to influence new buildings.</w:t>
      </w:r>
      <w:r w:rsidRPr="008D1FA4">
        <w:rPr>
          <w:sz w:val="20"/>
          <w:szCs w:val="20"/>
        </w:rPr>
        <w:t xml:space="preserve"> </w:t>
      </w:r>
    </w:p>
    <w:p w14:paraId="5DE6C454" w14:textId="77777777" w:rsidR="00E41B6F" w:rsidRPr="008D1FA4" w:rsidRDefault="008D1FA4" w:rsidP="008D1FA4">
      <w:pPr>
        <w:spacing w:before="0"/>
        <w:rPr>
          <w:sz w:val="20"/>
          <w:szCs w:val="20"/>
        </w:rPr>
      </w:pPr>
      <w:r w:rsidRPr="008D1FA4">
        <w:rPr>
          <w:sz w:val="20"/>
          <w:szCs w:val="20"/>
        </w:rPr>
        <w:lastRenderedPageBreak/>
        <w:t>Local authorities have been undertaking analysis based on national Carbon Budget information. A growth st</w:t>
      </w:r>
      <w:r w:rsidRPr="008D1FA4">
        <w:rPr>
          <w:sz w:val="20"/>
          <w:szCs w:val="20"/>
        </w:rPr>
        <w:t xml:space="preserve">udy undertaken in Greater Cambridge compared the expected FHS performance with an emerging net zero operational performance standard based on high performance fabric and on-site renewable energy generation. A PM13‑compliant approach would lead to a 15–22% </w:t>
      </w:r>
      <w:r w:rsidRPr="008D1FA4">
        <w:rPr>
          <w:sz w:val="20"/>
          <w:szCs w:val="20"/>
        </w:rPr>
        <w:t xml:space="preserve">exceedance for new homes, whether assessed against a 2030 or 2050 target. </w:t>
      </w:r>
    </w:p>
    <w:p w14:paraId="7906A82C" w14:textId="77777777" w:rsidR="00E41B6F" w:rsidRPr="008D1FA4" w:rsidRDefault="008D1FA4" w:rsidP="008D1FA4">
      <w:pPr>
        <w:spacing w:before="0"/>
        <w:rPr>
          <w:sz w:val="20"/>
          <w:szCs w:val="20"/>
        </w:rPr>
      </w:pPr>
      <w:r w:rsidRPr="008D1FA4">
        <w:rPr>
          <w:sz w:val="20"/>
          <w:szCs w:val="20"/>
        </w:rPr>
        <w:t xml:space="preserve">Parliament has placed a clear legal duty on Local Planning Authorities through the Planning and Compulsory Purchase Act 2004 (s.19(1A)) which acts beyond the Planning &amp; Energy Act. </w:t>
      </w:r>
      <w:r w:rsidRPr="008D1FA4">
        <w:rPr>
          <w:sz w:val="20"/>
          <w:szCs w:val="20"/>
        </w:rPr>
        <w:t xml:space="preserve">This ensures their development plans secure mitigation of, and adaptation to, climate change. </w:t>
      </w:r>
    </w:p>
    <w:p w14:paraId="0F6EA223" w14:textId="77777777" w:rsidR="00E41B6F" w:rsidRPr="008D1FA4" w:rsidRDefault="00E41B6F" w:rsidP="008D1FA4">
      <w:pPr>
        <w:spacing w:before="0"/>
        <w:rPr>
          <w:sz w:val="20"/>
          <w:szCs w:val="20"/>
        </w:rPr>
      </w:pPr>
    </w:p>
    <w:p w14:paraId="224EDFD3" w14:textId="77777777" w:rsidR="00E41B6F" w:rsidRPr="008D1FA4" w:rsidRDefault="008D1FA4" w:rsidP="008D1FA4">
      <w:pPr>
        <w:numPr>
          <w:ilvl w:val="0"/>
          <w:numId w:val="1"/>
        </w:numPr>
        <w:spacing w:before="0"/>
        <w:rPr>
          <w:b/>
          <w:bCs/>
          <w:sz w:val="20"/>
          <w:szCs w:val="20"/>
        </w:rPr>
      </w:pPr>
      <w:r w:rsidRPr="008D1FA4">
        <w:rPr>
          <w:b/>
          <w:bCs/>
          <w:sz w:val="20"/>
          <w:szCs w:val="20"/>
        </w:rPr>
        <w:t>PM13 will undermine local democracy and the Government’s devolution agenda</w:t>
      </w:r>
    </w:p>
    <w:p w14:paraId="46ED6397" w14:textId="77777777" w:rsidR="00E41B6F" w:rsidRPr="008D1FA4" w:rsidRDefault="008D1FA4" w:rsidP="008D1FA4">
      <w:pPr>
        <w:spacing w:before="0"/>
        <w:rPr>
          <w:sz w:val="20"/>
          <w:szCs w:val="20"/>
        </w:rPr>
      </w:pPr>
      <w:r w:rsidRPr="008D1FA4">
        <w:rPr>
          <w:sz w:val="20"/>
          <w:szCs w:val="20"/>
        </w:rPr>
        <w:t xml:space="preserve">Where local policies are to receive ‘very limited weight’ it goes against devolution </w:t>
      </w:r>
      <w:r w:rsidRPr="008D1FA4">
        <w:rPr>
          <w:sz w:val="20"/>
          <w:szCs w:val="20"/>
        </w:rPr>
        <w:t xml:space="preserve">and regional planning. In the English Devolution White Paper, December 2024, the Deputy Prime Minister wrote “If we are going to build an economy that works for everyone, we need nothing less than a completely new way of governing – a generational project </w:t>
      </w:r>
      <w:r w:rsidRPr="008D1FA4">
        <w:rPr>
          <w:sz w:val="20"/>
          <w:szCs w:val="20"/>
        </w:rPr>
        <w:t xml:space="preserve">of determined devolution.” This includes performing functions in the housing and strategic planning, and environment and net zero </w:t>
      </w:r>
      <w:proofErr w:type="gramStart"/>
      <w:r w:rsidRPr="008D1FA4">
        <w:rPr>
          <w:sz w:val="20"/>
          <w:szCs w:val="20"/>
        </w:rPr>
        <w:t>areas .</w:t>
      </w:r>
      <w:proofErr w:type="gramEnd"/>
      <w:r w:rsidRPr="008D1FA4">
        <w:rPr>
          <w:sz w:val="20"/>
          <w:szCs w:val="20"/>
        </w:rPr>
        <w:t xml:space="preserve"> </w:t>
      </w:r>
    </w:p>
    <w:p w14:paraId="1C126BB4" w14:textId="77777777" w:rsidR="00E41B6F" w:rsidRPr="008D1FA4" w:rsidRDefault="00E41B6F" w:rsidP="008D1FA4">
      <w:pPr>
        <w:spacing w:before="0"/>
        <w:rPr>
          <w:b/>
          <w:bCs/>
          <w:sz w:val="20"/>
          <w:szCs w:val="20"/>
        </w:rPr>
      </w:pPr>
    </w:p>
    <w:p w14:paraId="09BA95B0" w14:textId="77777777" w:rsidR="00E41B6F" w:rsidRPr="008D1FA4" w:rsidRDefault="008D1FA4" w:rsidP="008D1FA4">
      <w:pPr>
        <w:numPr>
          <w:ilvl w:val="0"/>
          <w:numId w:val="1"/>
        </w:numPr>
        <w:spacing w:before="0"/>
        <w:rPr>
          <w:b/>
          <w:bCs/>
          <w:sz w:val="20"/>
          <w:szCs w:val="20"/>
        </w:rPr>
      </w:pPr>
      <w:r w:rsidRPr="008D1FA4">
        <w:rPr>
          <w:b/>
          <w:bCs/>
          <w:sz w:val="20"/>
          <w:szCs w:val="20"/>
        </w:rPr>
        <w:t>PM13 will negatively impact policies across other areas of sustainable development such as embodied carbon and clima</w:t>
      </w:r>
      <w:r w:rsidRPr="008D1FA4">
        <w:rPr>
          <w:b/>
          <w:bCs/>
          <w:sz w:val="20"/>
          <w:szCs w:val="20"/>
        </w:rPr>
        <w:t>te change resilience</w:t>
      </w:r>
    </w:p>
    <w:p w14:paraId="560D2461" w14:textId="77777777" w:rsidR="00E41B6F" w:rsidRPr="008D1FA4" w:rsidRDefault="008D1FA4" w:rsidP="008D1FA4">
      <w:pPr>
        <w:spacing w:before="0"/>
        <w:rPr>
          <w:sz w:val="20"/>
          <w:szCs w:val="20"/>
        </w:rPr>
      </w:pPr>
      <w:r w:rsidRPr="008D1FA4">
        <w:rPr>
          <w:sz w:val="20"/>
          <w:szCs w:val="20"/>
        </w:rPr>
        <w:t>Several additional sustainable development factors require local quantification and PM13 risks constraining these quantitative policies despite their contribution to viable net zero pathways. Embodied carbon is a major unregulated cont</w:t>
      </w:r>
      <w:r w:rsidRPr="008D1FA4">
        <w:rPr>
          <w:sz w:val="20"/>
          <w:szCs w:val="20"/>
        </w:rPr>
        <w:t xml:space="preserve">ributor to emissions. Many local authorities already require the reporting of embodied and whole life carbon to increase material efficiency, drive the development of low carbon materials and deliver proven cost efficiencies. Managing overheating requires </w:t>
      </w:r>
      <w:r w:rsidRPr="008D1FA4">
        <w:rPr>
          <w:sz w:val="20"/>
          <w:szCs w:val="20"/>
        </w:rPr>
        <w:t xml:space="preserve">region‑specific, metric‑based approaches that prioritise passive design before mechanical cooling. Waste management and circularity policies could also be at risk. These policies encourage retrofit, material reuse, recycled </w:t>
      </w:r>
      <w:proofErr w:type="gramStart"/>
      <w:r w:rsidRPr="008D1FA4">
        <w:rPr>
          <w:sz w:val="20"/>
          <w:szCs w:val="20"/>
        </w:rPr>
        <w:t>content</w:t>
      </w:r>
      <w:proofErr w:type="gramEnd"/>
      <w:r w:rsidRPr="008D1FA4">
        <w:rPr>
          <w:sz w:val="20"/>
          <w:szCs w:val="20"/>
        </w:rPr>
        <w:t xml:space="preserve"> and design for disassemb</w:t>
      </w:r>
      <w:r w:rsidRPr="008D1FA4">
        <w:rPr>
          <w:sz w:val="20"/>
          <w:szCs w:val="20"/>
        </w:rPr>
        <w:t>ly, delivering clear health, economic and environmental benefits.  Embodied carbon, overheating and circular economy objectives cannot be delivered through Building Regulations alone. They rely on local policy tools that PM13 would constrain</w:t>
      </w:r>
    </w:p>
    <w:p w14:paraId="513973DB" w14:textId="77777777" w:rsidR="00E41B6F" w:rsidRPr="008D1FA4" w:rsidRDefault="008D1FA4" w:rsidP="008D1FA4">
      <w:pPr>
        <w:spacing w:before="0"/>
        <w:rPr>
          <w:sz w:val="20"/>
          <w:szCs w:val="20"/>
        </w:rPr>
      </w:pPr>
      <w:r w:rsidRPr="008D1FA4">
        <w:rPr>
          <w:sz w:val="20"/>
          <w:szCs w:val="20"/>
        </w:rPr>
        <w:t>In addition, a</w:t>
      </w:r>
      <w:r w:rsidRPr="008D1FA4">
        <w:rPr>
          <w:sz w:val="20"/>
          <w:szCs w:val="20"/>
        </w:rPr>
        <w:t xml:space="preserve"> </w:t>
      </w:r>
      <w:proofErr w:type="gramStart"/>
      <w:r w:rsidRPr="008D1FA4">
        <w:rPr>
          <w:sz w:val="20"/>
          <w:szCs w:val="20"/>
        </w:rPr>
        <w:t>further lever authorities</w:t>
      </w:r>
      <w:proofErr w:type="gramEnd"/>
      <w:r w:rsidRPr="008D1FA4">
        <w:rPr>
          <w:sz w:val="20"/>
          <w:szCs w:val="20"/>
        </w:rPr>
        <w:t xml:space="preserve"> currently </w:t>
      </w:r>
      <w:proofErr w:type="spellStart"/>
      <w:r w:rsidRPr="008D1FA4">
        <w:rPr>
          <w:sz w:val="20"/>
          <w:szCs w:val="20"/>
        </w:rPr>
        <w:t>utilise</w:t>
      </w:r>
      <w:proofErr w:type="spellEnd"/>
      <w:r w:rsidRPr="008D1FA4">
        <w:rPr>
          <w:sz w:val="20"/>
          <w:szCs w:val="20"/>
        </w:rPr>
        <w:t xml:space="preserve"> is offsetting, where justification is acceptable. This provides essential investment into local decarbonisation projects, which will slow if dis-allowed.</w:t>
      </w:r>
    </w:p>
    <w:p w14:paraId="241E7180" w14:textId="77777777" w:rsidR="00E41B6F" w:rsidRPr="008D1FA4" w:rsidRDefault="00E41B6F" w:rsidP="008D1FA4">
      <w:pPr>
        <w:spacing w:before="0"/>
        <w:rPr>
          <w:b/>
          <w:bCs/>
          <w:sz w:val="20"/>
          <w:szCs w:val="20"/>
        </w:rPr>
      </w:pPr>
    </w:p>
    <w:p w14:paraId="3EF50647" w14:textId="77777777" w:rsidR="00E41B6F" w:rsidRPr="008D1FA4" w:rsidRDefault="008D1FA4" w:rsidP="008D1FA4">
      <w:pPr>
        <w:numPr>
          <w:ilvl w:val="0"/>
          <w:numId w:val="1"/>
        </w:numPr>
        <w:spacing w:before="0"/>
        <w:rPr>
          <w:b/>
          <w:bCs/>
          <w:sz w:val="20"/>
          <w:szCs w:val="20"/>
        </w:rPr>
      </w:pPr>
      <w:r w:rsidRPr="008D1FA4">
        <w:rPr>
          <w:b/>
          <w:bCs/>
          <w:sz w:val="20"/>
          <w:szCs w:val="20"/>
        </w:rPr>
        <w:t>PM13 would constrain development by reducing Local Authorities’ ability to address local issues including grid capacity and infrastructure investment</w:t>
      </w:r>
    </w:p>
    <w:p w14:paraId="58FEB645" w14:textId="77777777" w:rsidR="00E41B6F" w:rsidRPr="008D1FA4" w:rsidRDefault="008D1FA4" w:rsidP="008D1FA4">
      <w:pPr>
        <w:spacing w:before="0"/>
        <w:rPr>
          <w:sz w:val="20"/>
          <w:szCs w:val="20"/>
        </w:rPr>
      </w:pPr>
      <w:r w:rsidRPr="008D1FA4">
        <w:rPr>
          <w:sz w:val="20"/>
          <w:szCs w:val="20"/>
        </w:rPr>
        <w:t>Planning for new homes and decarbonisation are inherently linked to local infrastructure capacities. The l</w:t>
      </w:r>
      <w:r w:rsidRPr="008D1FA4">
        <w:rPr>
          <w:sz w:val="20"/>
          <w:szCs w:val="20"/>
        </w:rPr>
        <w:t xml:space="preserve">ocal grid must support increasing demands from buildings, </w:t>
      </w:r>
      <w:proofErr w:type="gramStart"/>
      <w:r w:rsidRPr="008D1FA4">
        <w:rPr>
          <w:sz w:val="20"/>
          <w:szCs w:val="20"/>
        </w:rPr>
        <w:t>industry</w:t>
      </w:r>
      <w:proofErr w:type="gramEnd"/>
      <w:r w:rsidRPr="008D1FA4">
        <w:rPr>
          <w:sz w:val="20"/>
          <w:szCs w:val="20"/>
        </w:rPr>
        <w:t xml:space="preserve"> and electric vehicles. Local Area Energy Planning and Local Plan Policy can identify these issues and plan for energy efficient buildings and renewable electricity generation. There is alre</w:t>
      </w:r>
      <w:r w:rsidRPr="008D1FA4">
        <w:rPr>
          <w:sz w:val="20"/>
          <w:szCs w:val="20"/>
        </w:rPr>
        <w:t xml:space="preserve">ady evidence of severe grid constraints in parts of the UK temporarily pausing new connections to the grid. There is precedent for </w:t>
      </w:r>
      <w:proofErr w:type="spellStart"/>
      <w:r w:rsidRPr="008D1FA4">
        <w:rPr>
          <w:sz w:val="20"/>
          <w:szCs w:val="20"/>
        </w:rPr>
        <w:t>localised</w:t>
      </w:r>
      <w:proofErr w:type="spellEnd"/>
      <w:r w:rsidRPr="008D1FA4">
        <w:rPr>
          <w:sz w:val="20"/>
          <w:szCs w:val="20"/>
        </w:rPr>
        <w:t xml:space="preserve"> approaches to infrastructure where varying local </w:t>
      </w:r>
      <w:r w:rsidRPr="008D1FA4">
        <w:rPr>
          <w:sz w:val="20"/>
          <w:szCs w:val="20"/>
        </w:rPr>
        <w:lastRenderedPageBreak/>
        <w:t xml:space="preserve">water standards mitigate areas of water scarcity. </w:t>
      </w:r>
      <w:proofErr w:type="spellStart"/>
      <w:r w:rsidRPr="008D1FA4">
        <w:rPr>
          <w:sz w:val="20"/>
          <w:szCs w:val="20"/>
        </w:rPr>
        <w:t>Maximising</w:t>
      </w:r>
      <w:proofErr w:type="spellEnd"/>
      <w:r w:rsidRPr="008D1FA4">
        <w:rPr>
          <w:sz w:val="20"/>
          <w:szCs w:val="20"/>
        </w:rPr>
        <w:t xml:space="preserve"> the u</w:t>
      </w:r>
      <w:r w:rsidRPr="008D1FA4">
        <w:rPr>
          <w:sz w:val="20"/>
          <w:szCs w:val="20"/>
        </w:rPr>
        <w:t>se of on-site renewable electricity should take a similar approach.</w:t>
      </w:r>
    </w:p>
    <w:p w14:paraId="3EA36529" w14:textId="77777777" w:rsidR="00E41B6F" w:rsidRPr="008D1FA4" w:rsidRDefault="008D1FA4" w:rsidP="008D1FA4">
      <w:pPr>
        <w:spacing w:before="0"/>
        <w:rPr>
          <w:sz w:val="20"/>
          <w:szCs w:val="20"/>
        </w:rPr>
      </w:pPr>
      <w:r w:rsidRPr="008D1FA4">
        <w:rPr>
          <w:sz w:val="20"/>
          <w:szCs w:val="20"/>
        </w:rPr>
        <w:t xml:space="preserve">A local approach to energy standards will </w:t>
      </w:r>
      <w:proofErr w:type="spellStart"/>
      <w:r w:rsidRPr="008D1FA4">
        <w:rPr>
          <w:sz w:val="20"/>
          <w:szCs w:val="20"/>
        </w:rPr>
        <w:t>recognise</w:t>
      </w:r>
      <w:proofErr w:type="spellEnd"/>
      <w:r w:rsidRPr="008D1FA4">
        <w:rPr>
          <w:sz w:val="20"/>
          <w:szCs w:val="20"/>
        </w:rPr>
        <w:t xml:space="preserve"> regional variation in housing typologies, densities, climates, demographics, </w:t>
      </w:r>
      <w:proofErr w:type="gramStart"/>
      <w:r w:rsidRPr="008D1FA4">
        <w:rPr>
          <w:sz w:val="20"/>
          <w:szCs w:val="20"/>
        </w:rPr>
        <w:t>viability</w:t>
      </w:r>
      <w:proofErr w:type="gramEnd"/>
      <w:r w:rsidRPr="008D1FA4">
        <w:rPr>
          <w:sz w:val="20"/>
          <w:szCs w:val="20"/>
        </w:rPr>
        <w:t xml:space="preserve"> and supply chains. It will ensure energy use is m</w:t>
      </w:r>
      <w:r w:rsidRPr="008D1FA4">
        <w:rPr>
          <w:sz w:val="20"/>
          <w:szCs w:val="20"/>
        </w:rPr>
        <w:t>atched to on-site energy generation; this is not possible by relying solely on Building Regulations. A local approach improves management and growth of clean energy grids and land use to match supply and demand, reducing losses incurred through distributio</w:t>
      </w:r>
      <w:r w:rsidRPr="008D1FA4">
        <w:rPr>
          <w:sz w:val="20"/>
          <w:szCs w:val="20"/>
        </w:rPr>
        <w:t>n over larger distances. Without integrated planning, there is a risk that land will be required for energy generation (such as ground mounted PV) when it is under considerable pressure for other needs such as housing, infrastructure, agriculture, and econ</w:t>
      </w:r>
      <w:r w:rsidRPr="008D1FA4">
        <w:rPr>
          <w:sz w:val="20"/>
          <w:szCs w:val="20"/>
        </w:rPr>
        <w:t xml:space="preserve">omic development, including data </w:t>
      </w:r>
      <w:proofErr w:type="spellStart"/>
      <w:r w:rsidRPr="008D1FA4">
        <w:rPr>
          <w:sz w:val="20"/>
          <w:szCs w:val="20"/>
        </w:rPr>
        <w:t>centres</w:t>
      </w:r>
      <w:proofErr w:type="spellEnd"/>
      <w:r w:rsidRPr="008D1FA4">
        <w:rPr>
          <w:sz w:val="20"/>
          <w:szCs w:val="20"/>
        </w:rPr>
        <w:t>. Land is a finite resource and must be used efficiently.</w:t>
      </w:r>
    </w:p>
    <w:p w14:paraId="1D6CA58C" w14:textId="77777777" w:rsidR="00E41B6F" w:rsidRPr="008D1FA4" w:rsidRDefault="00E41B6F" w:rsidP="008D1FA4">
      <w:pPr>
        <w:spacing w:before="0"/>
        <w:rPr>
          <w:b/>
          <w:bCs/>
          <w:sz w:val="20"/>
          <w:szCs w:val="20"/>
        </w:rPr>
      </w:pPr>
    </w:p>
    <w:p w14:paraId="6C17A28E" w14:textId="77777777" w:rsidR="00E41B6F" w:rsidRPr="008D1FA4" w:rsidRDefault="008D1FA4" w:rsidP="008D1FA4">
      <w:pPr>
        <w:numPr>
          <w:ilvl w:val="0"/>
          <w:numId w:val="1"/>
        </w:numPr>
        <w:spacing w:before="0"/>
        <w:rPr>
          <w:b/>
          <w:bCs/>
          <w:sz w:val="20"/>
          <w:szCs w:val="20"/>
        </w:rPr>
      </w:pPr>
      <w:r w:rsidRPr="008D1FA4">
        <w:rPr>
          <w:b/>
          <w:bCs/>
          <w:sz w:val="20"/>
          <w:szCs w:val="20"/>
        </w:rPr>
        <w:t>PM13 would reduce community support for development in key growth areas.</w:t>
      </w:r>
    </w:p>
    <w:p w14:paraId="61C4125A" w14:textId="77777777" w:rsidR="00E41B6F" w:rsidRPr="008D1FA4" w:rsidRDefault="008D1FA4" w:rsidP="008D1FA4">
      <w:pPr>
        <w:spacing w:before="0"/>
        <w:rPr>
          <w:sz w:val="20"/>
          <w:szCs w:val="20"/>
        </w:rPr>
      </w:pPr>
      <w:r w:rsidRPr="008D1FA4">
        <w:rPr>
          <w:sz w:val="20"/>
          <w:szCs w:val="20"/>
        </w:rPr>
        <w:t>Energy efficient homes and developments are more popular with the local community an</w:t>
      </w:r>
      <w:r w:rsidRPr="008D1FA4">
        <w:rPr>
          <w:sz w:val="20"/>
          <w:szCs w:val="20"/>
        </w:rPr>
        <w:t>d home buyers because of the benefits they bring in terms of reduced carbon emissions, better health, improved air quality and lower running costs. Net zero developments typically garner more support from the local community. In areas where there may be ob</w:t>
      </w:r>
      <w:r w:rsidRPr="008D1FA4">
        <w:rPr>
          <w:sz w:val="20"/>
          <w:szCs w:val="20"/>
        </w:rPr>
        <w:t xml:space="preserve">jections to increased development, such as in Growth Areas, this additional support can be valuable in supporting the streamlined delivery of more homes. PM13 would negate this support by </w:t>
      </w:r>
      <w:proofErr w:type="spellStart"/>
      <w:r w:rsidRPr="008D1FA4">
        <w:rPr>
          <w:sz w:val="20"/>
          <w:szCs w:val="20"/>
        </w:rPr>
        <w:t>homogenising</w:t>
      </w:r>
      <w:proofErr w:type="spellEnd"/>
      <w:r w:rsidRPr="008D1FA4">
        <w:rPr>
          <w:sz w:val="20"/>
          <w:szCs w:val="20"/>
        </w:rPr>
        <w:t xml:space="preserve"> the requirements to a single national standard.</w:t>
      </w:r>
    </w:p>
    <w:p w14:paraId="3A00EEC5" w14:textId="77777777" w:rsidR="00E41B6F" w:rsidRPr="008D1FA4" w:rsidRDefault="00E41B6F" w:rsidP="008D1FA4">
      <w:pPr>
        <w:spacing w:before="0"/>
        <w:rPr>
          <w:sz w:val="20"/>
          <w:szCs w:val="20"/>
        </w:rPr>
      </w:pPr>
    </w:p>
    <w:p w14:paraId="50D4E0DE" w14:textId="77777777" w:rsidR="00E41B6F" w:rsidRDefault="008D1FA4" w:rsidP="008D1FA4">
      <w:pPr>
        <w:spacing w:before="0"/>
      </w:pPr>
      <w:r>
        <w:rPr>
          <w:b/>
          <w:bCs/>
          <w:color w:val="019CDE"/>
          <w:sz w:val="27"/>
          <w:szCs w:val="27"/>
        </w:rPr>
        <w:t>We are</w:t>
      </w:r>
      <w:r>
        <w:rPr>
          <w:b/>
          <w:bCs/>
          <w:color w:val="019CDE"/>
          <w:sz w:val="27"/>
          <w:szCs w:val="27"/>
        </w:rPr>
        <w:t xml:space="preserve"> also concerned about the lack of justification and evidence provided to explain why PM13 should be introduced.</w:t>
      </w:r>
      <w:r>
        <w:rPr>
          <w:b/>
          <w:bCs/>
          <w:color w:val="019CDE"/>
        </w:rPr>
        <w:t xml:space="preserve"> </w:t>
      </w:r>
    </w:p>
    <w:p w14:paraId="11C394AB" w14:textId="77777777" w:rsidR="00E41B6F" w:rsidRPr="008D1FA4" w:rsidRDefault="008D1FA4" w:rsidP="008D1FA4">
      <w:pPr>
        <w:numPr>
          <w:ilvl w:val="0"/>
          <w:numId w:val="3"/>
        </w:numPr>
        <w:spacing w:before="0"/>
        <w:rPr>
          <w:b/>
          <w:bCs/>
          <w:sz w:val="20"/>
          <w:szCs w:val="20"/>
        </w:rPr>
      </w:pPr>
      <w:r w:rsidRPr="008D1FA4">
        <w:rPr>
          <w:b/>
          <w:bCs/>
          <w:sz w:val="20"/>
          <w:szCs w:val="20"/>
        </w:rPr>
        <w:t xml:space="preserve">The impact of PM13 on carbon emissions, equality, </w:t>
      </w:r>
      <w:proofErr w:type="gramStart"/>
      <w:r w:rsidRPr="008D1FA4">
        <w:rPr>
          <w:b/>
          <w:bCs/>
          <w:sz w:val="20"/>
          <w:szCs w:val="20"/>
        </w:rPr>
        <w:t>health</w:t>
      </w:r>
      <w:proofErr w:type="gramEnd"/>
      <w:r w:rsidRPr="008D1FA4">
        <w:rPr>
          <w:b/>
          <w:bCs/>
          <w:sz w:val="20"/>
          <w:szCs w:val="20"/>
        </w:rPr>
        <w:t xml:space="preserve"> and biodiversity, has not been assessed and shared publicly.</w:t>
      </w:r>
    </w:p>
    <w:p w14:paraId="172B2CCE" w14:textId="77777777" w:rsidR="00E41B6F" w:rsidRPr="008D1FA4" w:rsidRDefault="008D1FA4" w:rsidP="008D1FA4">
      <w:pPr>
        <w:spacing w:before="120" w:after="240"/>
        <w:rPr>
          <w:sz w:val="20"/>
          <w:szCs w:val="20"/>
        </w:rPr>
      </w:pPr>
      <w:r w:rsidRPr="008D1FA4">
        <w:rPr>
          <w:sz w:val="20"/>
          <w:szCs w:val="20"/>
        </w:rPr>
        <w:t>MHCLG have three statutor</w:t>
      </w:r>
      <w:r w:rsidRPr="008D1FA4">
        <w:rPr>
          <w:sz w:val="20"/>
          <w:szCs w:val="20"/>
        </w:rPr>
        <w:t>y duties when considering restricting local authorities from setting local requirements which go beyond the minimum national standard. The Duty to have due regard to the environmental principles policy statement when making policies (Environment Act 2021),</w:t>
      </w:r>
      <w:r w:rsidRPr="008D1FA4">
        <w:rPr>
          <w:sz w:val="20"/>
          <w:szCs w:val="20"/>
        </w:rPr>
        <w:t xml:space="preserve"> the </w:t>
      </w:r>
      <w:proofErr w:type="gramStart"/>
      <w:r w:rsidRPr="008D1FA4">
        <w:rPr>
          <w:sz w:val="20"/>
          <w:szCs w:val="20"/>
        </w:rPr>
        <w:t>Biodiversity</w:t>
      </w:r>
      <w:proofErr w:type="gramEnd"/>
      <w:r w:rsidRPr="008D1FA4">
        <w:rPr>
          <w:sz w:val="20"/>
          <w:szCs w:val="20"/>
        </w:rPr>
        <w:t xml:space="preserve"> duty which requires public authorities to consider what they can do to conserve and enhance biodiversity; and the Public Sector Equalities Duty, which ensures that public authorities consider how their functions will affect people with di</w:t>
      </w:r>
      <w:r w:rsidRPr="008D1FA4">
        <w:rPr>
          <w:sz w:val="20"/>
          <w:szCs w:val="20"/>
        </w:rPr>
        <w:t xml:space="preserve">fferent protected characteristics. </w:t>
      </w:r>
    </w:p>
    <w:p w14:paraId="6E6295A7" w14:textId="77777777" w:rsidR="00E41B6F" w:rsidRPr="008D1FA4" w:rsidRDefault="008D1FA4" w:rsidP="008D1FA4">
      <w:pPr>
        <w:spacing w:before="120" w:after="240"/>
        <w:rPr>
          <w:sz w:val="20"/>
          <w:szCs w:val="20"/>
        </w:rPr>
      </w:pPr>
      <w:r w:rsidRPr="008D1FA4">
        <w:rPr>
          <w:sz w:val="20"/>
          <w:szCs w:val="20"/>
        </w:rPr>
        <w:t xml:space="preserve">PM13 is not accompanied by any assessments showing that environmental, </w:t>
      </w:r>
      <w:proofErr w:type="gramStart"/>
      <w:r w:rsidRPr="008D1FA4">
        <w:rPr>
          <w:sz w:val="20"/>
          <w:szCs w:val="20"/>
        </w:rPr>
        <w:t>social</w:t>
      </w:r>
      <w:proofErr w:type="gramEnd"/>
      <w:r w:rsidRPr="008D1FA4">
        <w:rPr>
          <w:sz w:val="20"/>
          <w:szCs w:val="20"/>
        </w:rPr>
        <w:t xml:space="preserve"> and economic consequences have been considered. </w:t>
      </w:r>
      <w:proofErr w:type="gramStart"/>
      <w:r w:rsidRPr="008D1FA4">
        <w:rPr>
          <w:sz w:val="20"/>
          <w:szCs w:val="20"/>
        </w:rPr>
        <w:t>In particular, it</w:t>
      </w:r>
      <w:proofErr w:type="gramEnd"/>
      <w:r w:rsidRPr="008D1FA4">
        <w:rPr>
          <w:sz w:val="20"/>
          <w:szCs w:val="20"/>
        </w:rPr>
        <w:t xml:space="preserve"> is not clear whether PM13 is compatible with the UK’s legally binding carbon</w:t>
      </w:r>
      <w:r w:rsidRPr="008D1FA4">
        <w:rPr>
          <w:sz w:val="20"/>
          <w:szCs w:val="20"/>
        </w:rPr>
        <w:t xml:space="preserve"> budgets under the Climate Change Act. The consequences of preventing local quantitative targets related to other emissions causing or related to climate change including embodied‑carbon, waste management and the circular economy are also not assessed. A f</w:t>
      </w:r>
      <w:r w:rsidRPr="008D1FA4">
        <w:rPr>
          <w:sz w:val="20"/>
          <w:szCs w:val="20"/>
        </w:rPr>
        <w:t xml:space="preserve">ull and transparent environmental impact assessment is required before any such policy change can be responsibly taken forward. </w:t>
      </w:r>
    </w:p>
    <w:p w14:paraId="5714180F" w14:textId="77777777" w:rsidR="00E41B6F" w:rsidRPr="008D1FA4" w:rsidRDefault="008D1FA4" w:rsidP="008D1FA4">
      <w:pPr>
        <w:spacing w:before="120"/>
        <w:rPr>
          <w:sz w:val="20"/>
          <w:szCs w:val="20"/>
        </w:rPr>
      </w:pPr>
      <w:r w:rsidRPr="008D1FA4">
        <w:rPr>
          <w:sz w:val="20"/>
          <w:szCs w:val="20"/>
        </w:rPr>
        <w:t xml:space="preserve">The potential social impacts of PM13 such as energy costs related to mitigating the </w:t>
      </w:r>
      <w:proofErr w:type="gramStart"/>
      <w:r w:rsidRPr="008D1FA4">
        <w:rPr>
          <w:sz w:val="20"/>
          <w:szCs w:val="20"/>
        </w:rPr>
        <w:t>cost of living</w:t>
      </w:r>
      <w:proofErr w:type="gramEnd"/>
      <w:r w:rsidRPr="008D1FA4">
        <w:rPr>
          <w:sz w:val="20"/>
          <w:szCs w:val="20"/>
        </w:rPr>
        <w:t xml:space="preserve"> pressures, equalities or hea</w:t>
      </w:r>
      <w:r w:rsidRPr="008D1FA4">
        <w:rPr>
          <w:sz w:val="20"/>
          <w:szCs w:val="20"/>
        </w:rPr>
        <w:t>lth impacts for vulnerable populations have also not been assessed. Any policy that limits local climate action should undergo transparent assessment for climate compatibility, equality impacts and health outcomes before being considered credible.</w:t>
      </w:r>
    </w:p>
    <w:p w14:paraId="38EBE2F9" w14:textId="77777777" w:rsidR="00E41B6F" w:rsidRPr="008D1FA4" w:rsidRDefault="00E41B6F" w:rsidP="008D1FA4">
      <w:pPr>
        <w:spacing w:before="0"/>
        <w:rPr>
          <w:b/>
          <w:bCs/>
          <w:sz w:val="20"/>
          <w:szCs w:val="20"/>
        </w:rPr>
      </w:pPr>
    </w:p>
    <w:p w14:paraId="4C6F3709" w14:textId="77777777" w:rsidR="00E41B6F" w:rsidRPr="008D1FA4" w:rsidRDefault="008D1FA4" w:rsidP="008D1FA4">
      <w:pPr>
        <w:numPr>
          <w:ilvl w:val="0"/>
          <w:numId w:val="3"/>
        </w:numPr>
        <w:spacing w:before="0"/>
        <w:rPr>
          <w:b/>
          <w:bCs/>
          <w:sz w:val="20"/>
          <w:szCs w:val="20"/>
        </w:rPr>
      </w:pPr>
      <w:r w:rsidRPr="008D1FA4">
        <w:rPr>
          <w:b/>
          <w:bCs/>
          <w:sz w:val="20"/>
          <w:szCs w:val="20"/>
        </w:rPr>
        <w:lastRenderedPageBreak/>
        <w:t>PM13 re</w:t>
      </w:r>
      <w:r w:rsidRPr="008D1FA4">
        <w:rPr>
          <w:b/>
          <w:bCs/>
          <w:sz w:val="20"/>
          <w:szCs w:val="20"/>
        </w:rPr>
        <w:t xml:space="preserve">ferences wide variance in energy efficiency </w:t>
      </w:r>
      <w:proofErr w:type="gramStart"/>
      <w:r w:rsidRPr="008D1FA4">
        <w:rPr>
          <w:b/>
          <w:bCs/>
          <w:sz w:val="20"/>
          <w:szCs w:val="20"/>
        </w:rPr>
        <w:t>standards;  this</w:t>
      </w:r>
      <w:proofErr w:type="gramEnd"/>
      <w:r w:rsidRPr="008D1FA4">
        <w:rPr>
          <w:b/>
          <w:bCs/>
          <w:sz w:val="20"/>
          <w:szCs w:val="20"/>
        </w:rPr>
        <w:t xml:space="preserve"> is not the case with all local policies recently adopted (and backed up by evidence bases) using the same energy metrics.</w:t>
      </w:r>
    </w:p>
    <w:p w14:paraId="619F202C" w14:textId="77777777" w:rsidR="00E41B6F" w:rsidRPr="008D1FA4" w:rsidRDefault="008D1FA4" w:rsidP="008D1FA4">
      <w:pPr>
        <w:spacing w:before="0"/>
        <w:rPr>
          <w:sz w:val="20"/>
          <w:szCs w:val="20"/>
        </w:rPr>
      </w:pPr>
      <w:r w:rsidRPr="008D1FA4">
        <w:rPr>
          <w:sz w:val="20"/>
          <w:szCs w:val="20"/>
        </w:rPr>
        <w:t>It is misleading to suggest that there are varying standards for energy e</w:t>
      </w:r>
      <w:r w:rsidRPr="008D1FA4">
        <w:rPr>
          <w:sz w:val="20"/>
          <w:szCs w:val="20"/>
        </w:rPr>
        <w:t xml:space="preserve">fficiency across different local plans. To date </w:t>
      </w:r>
      <w:proofErr w:type="gramStart"/>
      <w:r w:rsidRPr="008D1FA4">
        <w:rPr>
          <w:sz w:val="20"/>
          <w:szCs w:val="20"/>
        </w:rPr>
        <w:t>the vast majority of</w:t>
      </w:r>
      <w:proofErr w:type="gramEnd"/>
      <w:r w:rsidRPr="008D1FA4">
        <w:rPr>
          <w:sz w:val="20"/>
          <w:szCs w:val="20"/>
        </w:rPr>
        <w:t xml:space="preserve"> plans either already found sound or adopted are all using the same energy based metric approach. These set out requirements related to space heating demand, energy use intensity and a ren</w:t>
      </w:r>
      <w:r w:rsidRPr="008D1FA4">
        <w:rPr>
          <w:sz w:val="20"/>
          <w:szCs w:val="20"/>
        </w:rPr>
        <w:t>ewable energy or energy balance requirement. The metrics match those recommended by the Climate Change Committee and those incorporated into the industry backed UK Net Zero Carbon Buildings Standard. Indeed, in the Inspector’s report for the Uttlesford Loc</w:t>
      </w:r>
      <w:r w:rsidRPr="008D1FA4">
        <w:rPr>
          <w:sz w:val="20"/>
          <w:szCs w:val="20"/>
        </w:rPr>
        <w:t>al Plan 2021-2041 Examination, the Inspector notes in paragraph 133 that “the use of the EUI metric is becoming more common nationally”.</w:t>
      </w:r>
    </w:p>
    <w:p w14:paraId="30A211E6" w14:textId="77777777" w:rsidR="00E41B6F" w:rsidRPr="008D1FA4" w:rsidRDefault="008D1FA4" w:rsidP="008D1FA4">
      <w:pPr>
        <w:spacing w:before="0"/>
        <w:rPr>
          <w:sz w:val="20"/>
          <w:szCs w:val="20"/>
        </w:rPr>
      </w:pPr>
      <w:r w:rsidRPr="008D1FA4">
        <w:rPr>
          <w:sz w:val="20"/>
          <w:szCs w:val="20"/>
        </w:rPr>
        <w:t>All policies either adopted or under development are also supported by extensive evidence on their technical feasibility and viability. In the case of those policies that have already been found sound at examination, they have been proven to have been posi</w:t>
      </w:r>
      <w:r w:rsidRPr="008D1FA4">
        <w:rPr>
          <w:sz w:val="20"/>
          <w:szCs w:val="20"/>
        </w:rPr>
        <w:t>tively prepared, justified, effective and consistent with national policy. Furthermore, they are recorded as necessary to meet the legal duties placed on Local Planning Authorities in relation to climate change mitigation in the Planning and Compulsory Pur</w:t>
      </w:r>
      <w:r w:rsidRPr="008D1FA4">
        <w:rPr>
          <w:sz w:val="20"/>
          <w:szCs w:val="20"/>
        </w:rPr>
        <w:t xml:space="preserve">chase Act. </w:t>
      </w:r>
    </w:p>
    <w:p w14:paraId="54957D32" w14:textId="77777777" w:rsidR="00E41B6F" w:rsidRPr="008D1FA4" w:rsidRDefault="008D1FA4" w:rsidP="008D1FA4">
      <w:pPr>
        <w:spacing w:before="0"/>
        <w:rPr>
          <w:sz w:val="20"/>
          <w:szCs w:val="20"/>
        </w:rPr>
      </w:pPr>
      <w:r w:rsidRPr="008D1FA4">
        <w:rPr>
          <w:sz w:val="20"/>
          <w:szCs w:val="20"/>
        </w:rPr>
        <w:t>The industry has already moved toward consistent energy‑based metrics. Suggesting wide variation misrepresents the current situation, where approaches are increasingly aligned.</w:t>
      </w:r>
    </w:p>
    <w:p w14:paraId="05F0BC70" w14:textId="77777777" w:rsidR="00E41B6F" w:rsidRPr="008D1FA4" w:rsidRDefault="00E41B6F" w:rsidP="008D1FA4">
      <w:pPr>
        <w:spacing w:before="0"/>
        <w:rPr>
          <w:sz w:val="20"/>
          <w:szCs w:val="20"/>
        </w:rPr>
      </w:pPr>
    </w:p>
    <w:p w14:paraId="7F79BCEC" w14:textId="77777777" w:rsidR="00E41B6F" w:rsidRPr="008D1FA4" w:rsidRDefault="008D1FA4" w:rsidP="008D1FA4">
      <w:pPr>
        <w:numPr>
          <w:ilvl w:val="0"/>
          <w:numId w:val="3"/>
        </w:numPr>
        <w:spacing w:before="0"/>
        <w:rPr>
          <w:b/>
          <w:bCs/>
          <w:sz w:val="20"/>
          <w:szCs w:val="20"/>
        </w:rPr>
      </w:pPr>
      <w:r w:rsidRPr="008D1FA4">
        <w:rPr>
          <w:b/>
          <w:bCs/>
          <w:sz w:val="20"/>
          <w:szCs w:val="20"/>
        </w:rPr>
        <w:t xml:space="preserve">There is no evidence that local standards create viability issues </w:t>
      </w:r>
      <w:r w:rsidRPr="008D1FA4">
        <w:rPr>
          <w:b/>
          <w:bCs/>
          <w:sz w:val="20"/>
          <w:szCs w:val="20"/>
        </w:rPr>
        <w:t xml:space="preserve">or that they affect the delivery of housing. </w:t>
      </w:r>
    </w:p>
    <w:p w14:paraId="7C519853" w14:textId="77777777" w:rsidR="00E41B6F" w:rsidRPr="008D1FA4" w:rsidRDefault="008D1FA4" w:rsidP="008D1FA4">
      <w:pPr>
        <w:spacing w:before="0"/>
        <w:rPr>
          <w:sz w:val="20"/>
          <w:szCs w:val="20"/>
        </w:rPr>
      </w:pPr>
      <w:r w:rsidRPr="008D1FA4">
        <w:rPr>
          <w:sz w:val="20"/>
          <w:szCs w:val="20"/>
        </w:rPr>
        <w:t>The uplift in capital cost for achieving net zero homes compared with building regulations standards are a small proportion of overall construction costs and are rarely the defining factor in whether a developm</w:t>
      </w:r>
      <w:r w:rsidRPr="008D1FA4">
        <w:rPr>
          <w:sz w:val="20"/>
          <w:szCs w:val="20"/>
        </w:rPr>
        <w:t xml:space="preserve">ent is viable or not </w:t>
      </w:r>
      <w:proofErr w:type="gramStart"/>
      <w:r w:rsidRPr="008D1FA4">
        <w:rPr>
          <w:sz w:val="20"/>
          <w:szCs w:val="20"/>
        </w:rPr>
        <w:t>in a given</w:t>
      </w:r>
      <w:proofErr w:type="gramEnd"/>
      <w:r w:rsidRPr="008D1FA4">
        <w:rPr>
          <w:sz w:val="20"/>
          <w:szCs w:val="20"/>
        </w:rPr>
        <w:t xml:space="preserve"> area.</w:t>
      </w:r>
      <w:r w:rsidRPr="008D1FA4">
        <w:rPr>
          <w:sz w:val="20"/>
          <w:szCs w:val="20"/>
          <w:highlight w:val="yellow"/>
        </w:rPr>
        <w:t xml:space="preserve"> </w:t>
      </w:r>
    </w:p>
    <w:p w14:paraId="614DAC40" w14:textId="77777777" w:rsidR="00E41B6F" w:rsidRPr="008D1FA4" w:rsidRDefault="008D1FA4" w:rsidP="008D1FA4">
      <w:pPr>
        <w:spacing w:before="0"/>
        <w:rPr>
          <w:sz w:val="20"/>
          <w:szCs w:val="20"/>
        </w:rPr>
      </w:pPr>
      <w:r w:rsidRPr="008D1FA4">
        <w:rPr>
          <w:sz w:val="20"/>
          <w:szCs w:val="20"/>
        </w:rPr>
        <w:t xml:space="preserve">Land prices also inherently respond to local needs and standards. Less ambitious standards in terms of energy efficiency will therefore not necessarily result in lower overall costs. </w:t>
      </w:r>
    </w:p>
    <w:p w14:paraId="7BD5F614" w14:textId="77777777" w:rsidR="00E41B6F" w:rsidRPr="008D1FA4" w:rsidRDefault="008D1FA4" w:rsidP="008D1FA4">
      <w:pPr>
        <w:spacing w:before="0"/>
        <w:rPr>
          <w:sz w:val="20"/>
          <w:szCs w:val="20"/>
        </w:rPr>
      </w:pPr>
      <w:r w:rsidRPr="008D1FA4">
        <w:rPr>
          <w:sz w:val="20"/>
          <w:szCs w:val="20"/>
        </w:rPr>
        <w:t>Net zero standards have been demo</w:t>
      </w:r>
      <w:r w:rsidRPr="008D1FA4">
        <w:rPr>
          <w:sz w:val="20"/>
          <w:szCs w:val="20"/>
        </w:rPr>
        <w:t>nstrated to pass viability tests through examined evidence bases in areas in which they have been tested - including those where land values are typically low.  Evidence submitted as part of Local Plan examinations has demonstrated that local energy effici</w:t>
      </w:r>
      <w:r w:rsidRPr="008D1FA4">
        <w:rPr>
          <w:sz w:val="20"/>
          <w:szCs w:val="20"/>
        </w:rPr>
        <w:t xml:space="preserve">ency standards going beyond the minimum Building Regulations are viable where proportionate and supported by appropriate technical feasibility and viability work. </w:t>
      </w:r>
    </w:p>
    <w:p w14:paraId="5A4E4D82" w14:textId="77777777" w:rsidR="00E41B6F" w:rsidRPr="008D1FA4" w:rsidRDefault="008D1FA4" w:rsidP="008D1FA4">
      <w:pPr>
        <w:spacing w:before="0"/>
        <w:rPr>
          <w:sz w:val="20"/>
          <w:szCs w:val="20"/>
        </w:rPr>
      </w:pPr>
      <w:r w:rsidRPr="008D1FA4">
        <w:rPr>
          <w:sz w:val="20"/>
          <w:szCs w:val="20"/>
        </w:rPr>
        <w:t xml:space="preserve">Analysis undertaken by Bioregional across three local authorities (Bath &amp; </w:t>
      </w:r>
      <w:proofErr w:type="gramStart"/>
      <w:r w:rsidRPr="008D1FA4">
        <w:rPr>
          <w:sz w:val="20"/>
          <w:szCs w:val="20"/>
        </w:rPr>
        <w:t>North East</w:t>
      </w:r>
      <w:proofErr w:type="gramEnd"/>
      <w:r w:rsidRPr="008D1FA4">
        <w:rPr>
          <w:sz w:val="20"/>
          <w:szCs w:val="20"/>
        </w:rPr>
        <w:t xml:space="preserve"> Somerse</w:t>
      </w:r>
      <w:r w:rsidRPr="008D1FA4">
        <w:rPr>
          <w:sz w:val="20"/>
          <w:szCs w:val="20"/>
        </w:rPr>
        <w:t xml:space="preserve">t, Cornwall and Central Lincolnshire) also shows that the adoption of policies using best‑practice absolute energy metrics has not resulted in a systemic reduction in housing supply. In Cornwall and Bath &amp; </w:t>
      </w:r>
      <w:proofErr w:type="gramStart"/>
      <w:r w:rsidRPr="008D1FA4">
        <w:rPr>
          <w:sz w:val="20"/>
          <w:szCs w:val="20"/>
        </w:rPr>
        <w:t>North East</w:t>
      </w:r>
      <w:proofErr w:type="gramEnd"/>
      <w:r w:rsidRPr="008D1FA4">
        <w:rPr>
          <w:sz w:val="20"/>
          <w:szCs w:val="20"/>
        </w:rPr>
        <w:t xml:space="preserve"> Somerset, the introduction of higher en</w:t>
      </w:r>
      <w:r w:rsidRPr="008D1FA4">
        <w:rPr>
          <w:sz w:val="20"/>
          <w:szCs w:val="20"/>
        </w:rPr>
        <w:t xml:space="preserve">ergy performance standards was followed by increases in housing planning applications, with no increase in refusal rates, indicating that these requirements have not acted as a barrier to development. The overall findings suggest that, when underpinned by </w:t>
      </w:r>
      <w:r w:rsidRPr="008D1FA4">
        <w:rPr>
          <w:sz w:val="20"/>
          <w:szCs w:val="20"/>
        </w:rPr>
        <w:t xml:space="preserve">proportionate evidence and viability testing through plan examination, energy‑based net zero policies can be implemented without undermining housing delivery, including in areas with varying land values. </w:t>
      </w:r>
    </w:p>
    <w:p w14:paraId="090051F7" w14:textId="77777777" w:rsidR="00E41B6F" w:rsidRPr="008D1FA4" w:rsidRDefault="00E41B6F" w:rsidP="008D1FA4">
      <w:pPr>
        <w:spacing w:before="0"/>
        <w:rPr>
          <w:sz w:val="20"/>
          <w:szCs w:val="20"/>
        </w:rPr>
      </w:pPr>
    </w:p>
    <w:p w14:paraId="6C552D1F" w14:textId="77777777" w:rsidR="00E41B6F" w:rsidRPr="008D1FA4" w:rsidRDefault="008D1FA4" w:rsidP="008D1FA4">
      <w:pPr>
        <w:numPr>
          <w:ilvl w:val="0"/>
          <w:numId w:val="3"/>
        </w:numPr>
        <w:spacing w:before="0"/>
        <w:rPr>
          <w:b/>
          <w:bCs/>
          <w:sz w:val="20"/>
          <w:szCs w:val="20"/>
        </w:rPr>
      </w:pPr>
      <w:r w:rsidRPr="008D1FA4">
        <w:rPr>
          <w:b/>
          <w:bCs/>
          <w:sz w:val="20"/>
          <w:szCs w:val="20"/>
        </w:rPr>
        <w:lastRenderedPageBreak/>
        <w:t>Contrary to the justification used, local energy e</w:t>
      </w:r>
      <w:r w:rsidRPr="008D1FA4">
        <w:rPr>
          <w:b/>
          <w:bCs/>
          <w:sz w:val="20"/>
          <w:szCs w:val="20"/>
        </w:rPr>
        <w:t xml:space="preserve">fficiency standards do not prevent the deployment of energy efficiency measures. In fact, PM13 would be an unnecessary blocker to the innovations already being delivered to </w:t>
      </w:r>
      <w:proofErr w:type="spellStart"/>
      <w:r w:rsidRPr="008D1FA4">
        <w:rPr>
          <w:b/>
          <w:bCs/>
          <w:sz w:val="20"/>
          <w:szCs w:val="20"/>
        </w:rPr>
        <w:t>decarbonise</w:t>
      </w:r>
      <w:proofErr w:type="spellEnd"/>
      <w:r w:rsidRPr="008D1FA4">
        <w:rPr>
          <w:b/>
          <w:bCs/>
          <w:sz w:val="20"/>
          <w:szCs w:val="20"/>
        </w:rPr>
        <w:t xml:space="preserve"> the construction industry.</w:t>
      </w:r>
    </w:p>
    <w:p w14:paraId="1AB0E78A" w14:textId="77777777" w:rsidR="00E41B6F" w:rsidRPr="008D1FA4" w:rsidRDefault="008D1FA4" w:rsidP="008D1FA4">
      <w:pPr>
        <w:spacing w:before="0"/>
        <w:rPr>
          <w:sz w:val="20"/>
          <w:szCs w:val="20"/>
        </w:rPr>
      </w:pPr>
      <w:r w:rsidRPr="008D1FA4">
        <w:rPr>
          <w:sz w:val="20"/>
          <w:szCs w:val="20"/>
        </w:rPr>
        <w:t>Local energy efficiency standards and polici</w:t>
      </w:r>
      <w:r w:rsidRPr="008D1FA4">
        <w:rPr>
          <w:sz w:val="20"/>
          <w:szCs w:val="20"/>
        </w:rPr>
        <w:t>es supporting sustainable development are proven to drive innovation, upskilling and economic growth. They do not prevent the deployment of energy efficiency technologies at scale.</w:t>
      </w:r>
    </w:p>
    <w:p w14:paraId="0FAF548E" w14:textId="77777777" w:rsidR="00E41B6F" w:rsidRPr="008D1FA4" w:rsidRDefault="008D1FA4" w:rsidP="008D1FA4">
      <w:pPr>
        <w:spacing w:before="0"/>
        <w:rPr>
          <w:sz w:val="20"/>
          <w:szCs w:val="20"/>
        </w:rPr>
      </w:pPr>
      <w:r w:rsidRPr="008D1FA4">
        <w:rPr>
          <w:sz w:val="20"/>
          <w:szCs w:val="20"/>
        </w:rPr>
        <w:t>The NPPF Consultation states that “</w:t>
      </w:r>
      <w:r w:rsidRPr="008D1FA4">
        <w:rPr>
          <w:i/>
          <w:iCs/>
          <w:sz w:val="20"/>
          <w:szCs w:val="20"/>
        </w:rPr>
        <w:t xml:space="preserve">The policy as drafted would limit local </w:t>
      </w:r>
      <w:r w:rsidRPr="008D1FA4">
        <w:rPr>
          <w:i/>
          <w:iCs/>
          <w:sz w:val="20"/>
          <w:szCs w:val="20"/>
        </w:rPr>
        <w:t>standards for energy efficiency, as we are concerned that varying standards across local plans make it difficult for the construction sector to adapt and deploy energy efficiency technologies at scale</w:t>
      </w:r>
      <w:r w:rsidRPr="008D1FA4">
        <w:rPr>
          <w:sz w:val="20"/>
          <w:szCs w:val="20"/>
        </w:rPr>
        <w:t>”.</w:t>
      </w:r>
    </w:p>
    <w:p w14:paraId="544B80A2" w14:textId="77777777" w:rsidR="00E41B6F" w:rsidRPr="008D1FA4" w:rsidRDefault="008D1FA4" w:rsidP="008D1FA4">
      <w:pPr>
        <w:spacing w:before="0"/>
        <w:rPr>
          <w:sz w:val="20"/>
          <w:szCs w:val="20"/>
        </w:rPr>
      </w:pPr>
      <w:r w:rsidRPr="008D1FA4">
        <w:rPr>
          <w:sz w:val="20"/>
          <w:szCs w:val="20"/>
        </w:rPr>
        <w:t>Viable, but ambitious local planning policy creates o</w:t>
      </w:r>
      <w:r w:rsidRPr="008D1FA4">
        <w:rPr>
          <w:sz w:val="20"/>
          <w:szCs w:val="20"/>
        </w:rPr>
        <w:t xml:space="preserve">pportunities for economic growth and innovation for the supply </w:t>
      </w:r>
      <w:proofErr w:type="gramStart"/>
      <w:r w:rsidRPr="008D1FA4">
        <w:rPr>
          <w:sz w:val="20"/>
          <w:szCs w:val="20"/>
        </w:rPr>
        <w:t>chain, and</w:t>
      </w:r>
      <w:proofErr w:type="gramEnd"/>
      <w:r w:rsidRPr="008D1FA4">
        <w:rPr>
          <w:sz w:val="20"/>
          <w:szCs w:val="20"/>
        </w:rPr>
        <w:t xml:space="preserve"> supports the development of expertise across the UK. A few examples include: </w:t>
      </w:r>
    </w:p>
    <w:p w14:paraId="6F92B7C4" w14:textId="77777777" w:rsidR="00E41B6F" w:rsidRPr="008D1FA4" w:rsidRDefault="008D1FA4" w:rsidP="008D1FA4">
      <w:pPr>
        <w:numPr>
          <w:ilvl w:val="0"/>
          <w:numId w:val="6"/>
        </w:numPr>
        <w:spacing w:before="0" w:after="0"/>
        <w:rPr>
          <w:sz w:val="20"/>
          <w:szCs w:val="20"/>
        </w:rPr>
      </w:pPr>
      <w:r w:rsidRPr="008D1FA4">
        <w:rPr>
          <w:sz w:val="20"/>
          <w:szCs w:val="20"/>
        </w:rPr>
        <w:t xml:space="preserve">Accelerated low‑carbon design innovation </w:t>
      </w:r>
    </w:p>
    <w:p w14:paraId="6AA0D023" w14:textId="77777777" w:rsidR="00E41B6F" w:rsidRPr="008D1FA4" w:rsidRDefault="008D1FA4" w:rsidP="008D1FA4">
      <w:pPr>
        <w:numPr>
          <w:ilvl w:val="0"/>
          <w:numId w:val="6"/>
        </w:numPr>
        <w:spacing w:before="0" w:after="0"/>
        <w:rPr>
          <w:sz w:val="20"/>
          <w:szCs w:val="20"/>
        </w:rPr>
      </w:pPr>
      <w:r w:rsidRPr="008D1FA4">
        <w:rPr>
          <w:sz w:val="20"/>
          <w:szCs w:val="20"/>
        </w:rPr>
        <w:t>Expansion of the low carbon materials supply chain and local m</w:t>
      </w:r>
      <w:r w:rsidRPr="008D1FA4">
        <w:rPr>
          <w:sz w:val="20"/>
          <w:szCs w:val="20"/>
        </w:rPr>
        <w:t>anufacturing</w:t>
      </w:r>
    </w:p>
    <w:p w14:paraId="365DCB52" w14:textId="77777777" w:rsidR="00E41B6F" w:rsidRPr="008D1FA4" w:rsidRDefault="008D1FA4" w:rsidP="008D1FA4">
      <w:pPr>
        <w:numPr>
          <w:ilvl w:val="0"/>
          <w:numId w:val="6"/>
        </w:numPr>
        <w:spacing w:before="0" w:after="0"/>
        <w:rPr>
          <w:sz w:val="20"/>
          <w:szCs w:val="20"/>
        </w:rPr>
      </w:pPr>
      <w:r w:rsidRPr="008D1FA4">
        <w:rPr>
          <w:sz w:val="20"/>
          <w:szCs w:val="20"/>
        </w:rPr>
        <w:t>Demand for expert skills such as certified designer specialists, airtightness specialists, heat‑pump engineering and building modeling</w:t>
      </w:r>
    </w:p>
    <w:p w14:paraId="474DE540" w14:textId="77777777" w:rsidR="00E41B6F" w:rsidRPr="008D1FA4" w:rsidRDefault="008D1FA4" w:rsidP="008D1FA4">
      <w:pPr>
        <w:numPr>
          <w:ilvl w:val="0"/>
          <w:numId w:val="6"/>
        </w:numPr>
        <w:spacing w:before="0" w:after="0"/>
        <w:rPr>
          <w:sz w:val="20"/>
          <w:szCs w:val="20"/>
        </w:rPr>
      </w:pPr>
      <w:r w:rsidRPr="008D1FA4">
        <w:rPr>
          <w:sz w:val="20"/>
          <w:szCs w:val="20"/>
        </w:rPr>
        <w:t xml:space="preserve">Installer training </w:t>
      </w:r>
      <w:proofErr w:type="spellStart"/>
      <w:r w:rsidRPr="008D1FA4">
        <w:rPr>
          <w:sz w:val="20"/>
          <w:szCs w:val="20"/>
        </w:rPr>
        <w:t>programmes</w:t>
      </w:r>
      <w:proofErr w:type="spellEnd"/>
      <w:r w:rsidRPr="008D1FA4">
        <w:rPr>
          <w:sz w:val="20"/>
          <w:szCs w:val="20"/>
        </w:rPr>
        <w:t xml:space="preserve"> and specialist construction skills</w:t>
      </w:r>
    </w:p>
    <w:p w14:paraId="1260A7A3" w14:textId="77777777" w:rsidR="00E41B6F" w:rsidRPr="008D1FA4" w:rsidRDefault="008D1FA4" w:rsidP="008D1FA4">
      <w:pPr>
        <w:numPr>
          <w:ilvl w:val="0"/>
          <w:numId w:val="6"/>
        </w:numPr>
        <w:spacing w:before="0" w:after="0"/>
        <w:rPr>
          <w:sz w:val="20"/>
          <w:szCs w:val="20"/>
        </w:rPr>
      </w:pPr>
      <w:r w:rsidRPr="008D1FA4">
        <w:rPr>
          <w:sz w:val="20"/>
          <w:szCs w:val="20"/>
        </w:rPr>
        <w:t xml:space="preserve">Thriving SME sectors delivering low carbon </w:t>
      </w:r>
      <w:r w:rsidRPr="008D1FA4">
        <w:rPr>
          <w:sz w:val="20"/>
          <w:szCs w:val="20"/>
        </w:rPr>
        <w:t>technologies</w:t>
      </w:r>
    </w:p>
    <w:p w14:paraId="210BD476" w14:textId="77777777" w:rsidR="00E41B6F" w:rsidRPr="008D1FA4" w:rsidRDefault="008D1FA4" w:rsidP="008D1FA4">
      <w:pPr>
        <w:numPr>
          <w:ilvl w:val="0"/>
          <w:numId w:val="6"/>
        </w:numPr>
        <w:spacing w:before="0"/>
        <w:rPr>
          <w:sz w:val="20"/>
          <w:szCs w:val="20"/>
        </w:rPr>
      </w:pPr>
      <w:r w:rsidRPr="008D1FA4">
        <w:rPr>
          <w:sz w:val="20"/>
          <w:szCs w:val="20"/>
        </w:rPr>
        <w:t>New business models including re-used material marketplaces and deconstruction services</w:t>
      </w:r>
    </w:p>
    <w:p w14:paraId="5DE267D7" w14:textId="77777777" w:rsidR="00E41B6F" w:rsidRPr="008D1FA4" w:rsidRDefault="008D1FA4" w:rsidP="008D1FA4">
      <w:pPr>
        <w:spacing w:before="0"/>
        <w:rPr>
          <w:sz w:val="20"/>
          <w:szCs w:val="20"/>
        </w:rPr>
      </w:pPr>
      <w:r w:rsidRPr="008D1FA4">
        <w:rPr>
          <w:sz w:val="20"/>
          <w:szCs w:val="20"/>
        </w:rPr>
        <w:t>Evidence shows that energy efficiency technologies (</w:t>
      </w:r>
      <w:proofErr w:type="gramStart"/>
      <w:r w:rsidRPr="008D1FA4">
        <w:rPr>
          <w:sz w:val="20"/>
          <w:szCs w:val="20"/>
        </w:rPr>
        <w:t>e.g.</w:t>
      </w:r>
      <w:proofErr w:type="gramEnd"/>
      <w:r w:rsidRPr="008D1FA4">
        <w:rPr>
          <w:sz w:val="20"/>
          <w:szCs w:val="20"/>
        </w:rPr>
        <w:t xml:space="preserve"> heat pumps, Mechanical Ventilation with Heat Recovery, triple-glazed windows, photovoltaics etc.) </w:t>
      </w:r>
      <w:r w:rsidRPr="008D1FA4">
        <w:rPr>
          <w:sz w:val="20"/>
          <w:szCs w:val="20"/>
        </w:rPr>
        <w:t xml:space="preserve">have emerged and gradually achieved a greater share of the market precisely due to standards which were going beyond Building Regulations. </w:t>
      </w:r>
    </w:p>
    <w:p w14:paraId="51B68D0E" w14:textId="77777777" w:rsidR="00E41B6F" w:rsidRPr="008D1FA4" w:rsidRDefault="008D1FA4" w:rsidP="008D1FA4">
      <w:pPr>
        <w:spacing w:before="0"/>
        <w:rPr>
          <w:sz w:val="20"/>
          <w:szCs w:val="20"/>
        </w:rPr>
      </w:pPr>
      <w:r w:rsidRPr="008D1FA4">
        <w:rPr>
          <w:sz w:val="20"/>
          <w:szCs w:val="20"/>
        </w:rPr>
        <w:t>In addition, innovation supports the next stage of regulatory development, enabling more streamlined collation of te</w:t>
      </w:r>
      <w:r w:rsidRPr="008D1FA4">
        <w:rPr>
          <w:sz w:val="20"/>
          <w:szCs w:val="20"/>
        </w:rPr>
        <w:t xml:space="preserve">chnical feasibility. Strong local policy has historically been a major driver of innovation, skills </w:t>
      </w:r>
      <w:proofErr w:type="gramStart"/>
      <w:r w:rsidRPr="008D1FA4">
        <w:rPr>
          <w:sz w:val="20"/>
          <w:szCs w:val="20"/>
        </w:rPr>
        <w:t>development</w:t>
      </w:r>
      <w:proofErr w:type="gramEnd"/>
      <w:r w:rsidRPr="008D1FA4">
        <w:rPr>
          <w:sz w:val="20"/>
          <w:szCs w:val="20"/>
        </w:rPr>
        <w:t xml:space="preserve"> and supply‑chain expansion. Restricting this ability risks slowing down progress in the wider sector.</w:t>
      </w:r>
    </w:p>
    <w:p w14:paraId="634E25C7" w14:textId="77777777" w:rsidR="00E41B6F" w:rsidRDefault="00E41B6F" w:rsidP="008D1FA4">
      <w:pPr>
        <w:spacing w:before="0"/>
        <w:rPr>
          <w:sz w:val="19"/>
          <w:szCs w:val="19"/>
          <w:highlight w:val="yellow"/>
        </w:rPr>
      </w:pPr>
    </w:p>
    <w:p w14:paraId="480C3F60" w14:textId="77777777" w:rsidR="00E41B6F" w:rsidRDefault="008D1FA4" w:rsidP="008D1FA4">
      <w:pPr>
        <w:spacing w:before="0"/>
        <w:rPr>
          <w:b/>
          <w:bCs/>
          <w:color w:val="019CDE"/>
          <w:sz w:val="27"/>
          <w:szCs w:val="27"/>
        </w:rPr>
      </w:pPr>
      <w:r>
        <w:rPr>
          <w:b/>
          <w:bCs/>
          <w:color w:val="019CDE"/>
          <w:sz w:val="27"/>
          <w:szCs w:val="27"/>
        </w:rPr>
        <w:t>There is a simple win-win alternative to PM13: enable local authorities to adopt an ‘optional’ standard based on energy metrics.</w:t>
      </w:r>
    </w:p>
    <w:p w14:paraId="18E817ED" w14:textId="77777777" w:rsidR="00E41B6F" w:rsidRPr="008D1FA4" w:rsidRDefault="008D1FA4" w:rsidP="008D1FA4">
      <w:pPr>
        <w:spacing w:before="0"/>
        <w:rPr>
          <w:sz w:val="20"/>
          <w:szCs w:val="20"/>
        </w:rPr>
      </w:pPr>
      <w:r w:rsidRPr="008D1FA4">
        <w:rPr>
          <w:sz w:val="20"/>
          <w:szCs w:val="20"/>
        </w:rPr>
        <w:t xml:space="preserve">This would be </w:t>
      </w:r>
      <w:proofErr w:type="gramStart"/>
      <w:r w:rsidRPr="008D1FA4">
        <w:rPr>
          <w:sz w:val="20"/>
          <w:szCs w:val="20"/>
        </w:rPr>
        <w:t>similar to</w:t>
      </w:r>
      <w:proofErr w:type="gramEnd"/>
      <w:r w:rsidRPr="008D1FA4">
        <w:rPr>
          <w:sz w:val="20"/>
          <w:szCs w:val="20"/>
        </w:rPr>
        <w:t xml:space="preserve"> the approach already adopted for water efficiency standards. Where justified and viable, Local Authori</w:t>
      </w:r>
      <w:r w:rsidRPr="008D1FA4">
        <w:rPr>
          <w:sz w:val="20"/>
          <w:szCs w:val="20"/>
        </w:rPr>
        <w:t xml:space="preserve">ties should be able to adopt an optional ‘Zero Carbon policy’ for new buildings. This optional standard would be proposed to MHCLG by Local Authorities and modelled </w:t>
      </w:r>
      <w:proofErr w:type="gramStart"/>
      <w:r w:rsidRPr="008D1FA4">
        <w:rPr>
          <w:sz w:val="20"/>
          <w:szCs w:val="20"/>
        </w:rPr>
        <w:t>on the basis of</w:t>
      </w:r>
      <w:proofErr w:type="gramEnd"/>
      <w:r w:rsidRPr="008D1FA4">
        <w:rPr>
          <w:sz w:val="20"/>
          <w:szCs w:val="20"/>
        </w:rPr>
        <w:t xml:space="preserve"> energy policies already adopted and found sound. It would include a number </w:t>
      </w:r>
      <w:r w:rsidRPr="008D1FA4">
        <w:rPr>
          <w:sz w:val="20"/>
          <w:szCs w:val="20"/>
        </w:rPr>
        <w:t>of optional requirements (</w:t>
      </w:r>
      <w:proofErr w:type="gramStart"/>
      <w:r w:rsidRPr="008D1FA4">
        <w:rPr>
          <w:sz w:val="20"/>
          <w:szCs w:val="20"/>
        </w:rPr>
        <w:t>e.g.</w:t>
      </w:r>
      <w:proofErr w:type="gramEnd"/>
      <w:r w:rsidRPr="008D1FA4">
        <w:rPr>
          <w:sz w:val="20"/>
          <w:szCs w:val="20"/>
        </w:rPr>
        <w:t xml:space="preserve"> Space Heating Demand, Energy Use Intensity limit, Upfront Embodied carbon limit) which Local Authorities would be able to consider and, when justified and viable, adopt in their draft Local Plan. </w:t>
      </w:r>
    </w:p>
    <w:p w14:paraId="1AEA8E9B" w14:textId="77777777" w:rsidR="00E41B6F" w:rsidRPr="008D1FA4" w:rsidRDefault="008D1FA4" w:rsidP="008D1FA4">
      <w:pPr>
        <w:spacing w:before="0"/>
        <w:rPr>
          <w:sz w:val="20"/>
          <w:szCs w:val="20"/>
        </w:rPr>
      </w:pPr>
      <w:r w:rsidRPr="008D1FA4">
        <w:rPr>
          <w:sz w:val="20"/>
          <w:szCs w:val="20"/>
        </w:rPr>
        <w:t xml:space="preserve">This approach would present </w:t>
      </w:r>
      <w:r w:rsidRPr="008D1FA4">
        <w:rPr>
          <w:sz w:val="20"/>
          <w:szCs w:val="20"/>
        </w:rPr>
        <w:t>similar advantages and ‘protections’ as the current system (</w:t>
      </w:r>
      <w:proofErr w:type="gramStart"/>
      <w:r w:rsidRPr="008D1FA4">
        <w:rPr>
          <w:sz w:val="20"/>
          <w:szCs w:val="20"/>
        </w:rPr>
        <w:t>e.g.</w:t>
      </w:r>
      <w:proofErr w:type="gramEnd"/>
      <w:r w:rsidRPr="008D1FA4">
        <w:rPr>
          <w:sz w:val="20"/>
          <w:szCs w:val="20"/>
        </w:rPr>
        <w:t xml:space="preserve"> the policies would still have to be found sound by the Planning Inspectorate) but would also enable a high degree of consistency across the UK. It would be a win-win solution. </w:t>
      </w:r>
    </w:p>
    <w:p w14:paraId="336D89EE" w14:textId="77777777" w:rsidR="00E41B6F" w:rsidRPr="008D1FA4" w:rsidRDefault="008D1FA4" w:rsidP="008D1FA4">
      <w:pPr>
        <w:spacing w:before="0"/>
        <w:rPr>
          <w:color w:val="999999"/>
          <w:sz w:val="22"/>
          <w:szCs w:val="22"/>
        </w:rPr>
      </w:pPr>
      <w:r w:rsidRPr="008D1FA4">
        <w:rPr>
          <w:b/>
          <w:bCs/>
          <w:sz w:val="20"/>
          <w:szCs w:val="20"/>
        </w:rPr>
        <w:t>We would suppo</w:t>
      </w:r>
      <w:r w:rsidRPr="008D1FA4">
        <w:rPr>
          <w:b/>
          <w:bCs/>
          <w:sz w:val="20"/>
          <w:szCs w:val="20"/>
        </w:rPr>
        <w:t>rt this alternative.</w:t>
      </w:r>
    </w:p>
    <w:sectPr w:rsidR="00E41B6F" w:rsidRPr="008D1FA4">
      <w:footerReference w:type="default" r:id="rId8"/>
      <w:pgSz w:w="11906" w:h="16838"/>
      <w:pgMar w:top="900"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6007E" w14:textId="77777777" w:rsidR="00000000" w:rsidRDefault="008D1FA4">
      <w:pPr>
        <w:spacing w:before="0" w:after="0" w:line="240" w:lineRule="auto"/>
      </w:pPr>
      <w:r>
        <w:separator/>
      </w:r>
    </w:p>
  </w:endnote>
  <w:endnote w:type="continuationSeparator" w:id="0">
    <w:p w14:paraId="6C62E87B" w14:textId="77777777" w:rsidR="00000000" w:rsidRDefault="008D1FA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FE7357CC-DDCE-4357-A5DC-B4DB6D4AAA5A}"/>
    <w:embedBold r:id="rId2" w:fontKey="{4107A18A-F19F-45E9-9F20-520E5D4460FD}"/>
    <w:embedItalic r:id="rId3" w:fontKey="{1F5A2A37-D270-4B3F-BCC9-B9E37290C919}"/>
  </w:font>
  <w:font w:name="Arial">
    <w:panose1 w:val="020B0604020202020204"/>
    <w:charset w:val="00"/>
    <w:family w:val="swiss"/>
    <w:pitch w:val="variable"/>
    <w:sig w:usb0="E0002EFF" w:usb1="C000785B" w:usb2="00000009" w:usb3="00000000" w:csb0="000001FF" w:csb1="00000000"/>
  </w:font>
  <w:font w:name="Gill Sans Nova">
    <w:panose1 w:val="00000000000000000000"/>
    <w:charset w:val="00"/>
    <w:family w:val="roman"/>
    <w:notTrueType/>
    <w:pitch w:val="default"/>
    <w:embedRegular r:id="rId4" w:fontKey="{58B7692D-3737-459F-B254-6CB9EDB70771}"/>
  </w:font>
  <w:font w:name="Founders Grotesk Medium">
    <w:panose1 w:val="020B0603030202060203"/>
    <w:charset w:val="00"/>
    <w:family w:val="roman"/>
    <w:notTrueType/>
    <w:pitch w:val="default"/>
  </w:font>
  <w:font w:name="Tahoma">
    <w:panose1 w:val="020B0604030504040204"/>
    <w:charset w:val="00"/>
    <w:family w:val="roman"/>
    <w:notTrueType/>
    <w:pitch w:val="default"/>
    <w:embedRegular r:id="rId5" w:fontKey="{0753C3B0-3DDA-498B-A4C0-7D832B54E2EC}"/>
  </w:font>
  <w:font w:name="Founders Grotesk Regular">
    <w:panose1 w:val="020B0503030202060203"/>
    <w:charset w:val="00"/>
    <w:family w:val="roman"/>
    <w:notTrueType/>
    <w:pitch w:val="default"/>
  </w:font>
  <w:font w:name="Consolas">
    <w:panose1 w:val="020B0609020204030204"/>
    <w:charset w:val="00"/>
    <w:family w:val="roman"/>
    <w:notTrueType/>
    <w:pitch w:val="default"/>
    <w:embedRegular r:id="rId6" w:fontKey="{EB335970-1F7D-4E71-9DDA-1F4CCB45FFD3}"/>
  </w:font>
  <w:font w:name="Georgia">
    <w:panose1 w:val="02040502050405020303"/>
    <w:charset w:val="00"/>
    <w:family w:val="auto"/>
    <w:pitch w:val="default"/>
    <w:embedItalic r:id="rId7" w:fontKey="{3F77635F-518F-41FE-9BEA-5555DAE007D3}"/>
  </w:font>
  <w:font w:name="Gill Sans">
    <w:charset w:val="00"/>
    <w:family w:val="auto"/>
    <w:pitch w:val="default"/>
    <w:embedRegular r:id="rId8" w:fontKey="{96650578-B5B8-4996-AF75-F20E473453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58AE" w14:textId="77777777" w:rsidR="00E41B6F" w:rsidRDefault="008D1FA4">
    <w:pPr>
      <w:pBdr>
        <w:top w:val="nil"/>
        <w:left w:val="nil"/>
        <w:bottom w:val="nil"/>
        <w:right w:val="nil"/>
        <w:between w:val="nil"/>
      </w:pBdr>
      <w:tabs>
        <w:tab w:val="center" w:pos="4513"/>
        <w:tab w:val="right" w:pos="9026"/>
      </w:tabs>
      <w:spacing w:before="0" w:after="0" w:line="240" w:lineRule="auto"/>
      <w:jc w:val="right"/>
      <w:rPr>
        <w:rFonts w:ascii="Gill Sans" w:eastAsia="Gill Sans" w:hAnsi="Gill Sans" w:cs="Gill Sans"/>
        <w:color w:val="1A285A"/>
        <w:sz w:val="22"/>
        <w:szCs w:val="22"/>
      </w:rPr>
    </w:pPr>
    <w:r>
      <w:rPr>
        <w:color w:val="019CDE"/>
        <w:sz w:val="22"/>
        <w:szCs w:val="22"/>
      </w:rPr>
      <w:t xml:space="preserve">LETI – </w:t>
    </w:r>
    <w:r>
      <w:rPr>
        <w:color w:val="019CDE"/>
        <w:sz w:val="22"/>
        <w:szCs w:val="22"/>
      </w:rPr>
      <w:t xml:space="preserve">Template response to NPPF consultation - PM13 </w:t>
    </w:r>
    <w:r>
      <w:rPr>
        <w:color w:val="019CDE"/>
        <w:sz w:val="22"/>
        <w:szCs w:val="22"/>
      </w:rPr>
      <w:t xml:space="preserve">   |   </w:t>
    </w:r>
    <w:r>
      <w:rPr>
        <w:color w:val="019CDE"/>
        <w:sz w:val="22"/>
        <w:szCs w:val="22"/>
      </w:rPr>
      <w:fldChar w:fldCharType="begin"/>
    </w:r>
    <w:r>
      <w:rPr>
        <w:color w:val="019CDE"/>
        <w:sz w:val="22"/>
        <w:szCs w:val="22"/>
      </w:rPr>
      <w:instrText>PAGE</w:instrText>
    </w:r>
    <w:r>
      <w:rPr>
        <w:color w:val="019CDE"/>
        <w:sz w:val="22"/>
        <w:szCs w:val="22"/>
      </w:rPr>
      <w:fldChar w:fldCharType="separate"/>
    </w:r>
    <w:r>
      <w:rPr>
        <w:noProof/>
        <w:color w:val="019CDE"/>
        <w:sz w:val="22"/>
        <w:szCs w:val="22"/>
      </w:rPr>
      <w:t>1</w:t>
    </w:r>
    <w:r>
      <w:rPr>
        <w:color w:val="019CDE"/>
        <w:sz w:val="22"/>
        <w:szCs w:val="22"/>
      </w:rPr>
      <w:fldChar w:fldCharType="end"/>
    </w:r>
    <w:r>
      <w:rPr>
        <w:noProof/>
      </w:rPr>
      <w:drawing>
        <wp:anchor distT="0" distB="0" distL="114300" distR="114300" simplePos="0" relativeHeight="251658240" behindDoc="0" locked="0" layoutInCell="1" hidden="0" allowOverlap="1" wp14:anchorId="608B052B" wp14:editId="50521CE9">
          <wp:simplePos x="0" y="0"/>
          <wp:positionH relativeFrom="column">
            <wp:posOffset>1</wp:posOffset>
          </wp:positionH>
          <wp:positionV relativeFrom="paragraph">
            <wp:posOffset>-38099</wp:posOffset>
          </wp:positionV>
          <wp:extent cx="314008" cy="314008"/>
          <wp:effectExtent l="0" t="0" r="0" b="0"/>
          <wp:wrapSquare wrapText="bothSides" distT="0" distB="0" distL="114300" distR="114300"/>
          <wp:docPr id="29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14008" cy="31400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13D17" w14:textId="77777777" w:rsidR="00000000" w:rsidRDefault="008D1FA4">
      <w:pPr>
        <w:spacing w:before="0" w:after="0" w:line="240" w:lineRule="auto"/>
      </w:pPr>
      <w:r>
        <w:separator/>
      </w:r>
    </w:p>
  </w:footnote>
  <w:footnote w:type="continuationSeparator" w:id="0">
    <w:p w14:paraId="7F628726" w14:textId="77777777" w:rsidR="00000000" w:rsidRDefault="008D1FA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E2EB9"/>
    <w:multiLevelType w:val="multilevel"/>
    <w:tmpl w:val="66AC3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E8442EB"/>
    <w:multiLevelType w:val="multilevel"/>
    <w:tmpl w:val="DD4E871E"/>
    <w:lvl w:ilvl="0">
      <w:start w:val="1"/>
      <w:numFmt w:val="decimal"/>
      <w:pStyle w:val="LETI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FD75C39"/>
    <w:multiLevelType w:val="multilevel"/>
    <w:tmpl w:val="727EEC42"/>
    <w:lvl w:ilvl="0">
      <w:start w:val="1"/>
      <w:numFmt w:val="upperLetter"/>
      <w:pStyle w:val="2nd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55F0106"/>
    <w:multiLevelType w:val="multilevel"/>
    <w:tmpl w:val="C964A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803F16"/>
    <w:multiLevelType w:val="multilevel"/>
    <w:tmpl w:val="DEF871E6"/>
    <w:lvl w:ilvl="0">
      <w:start w:val="1"/>
      <w:numFmt w:val="decimal"/>
      <w:pStyle w:val="1st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22703C7"/>
    <w:multiLevelType w:val="multilevel"/>
    <w:tmpl w:val="2F482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EA02BF"/>
    <w:multiLevelType w:val="multilevel"/>
    <w:tmpl w:val="2F72B728"/>
    <w:lvl w:ilvl="0">
      <w:start w:val="1"/>
      <w:numFmt w:val="upperLetter"/>
      <w:pStyle w:val="Numb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86805627">
    <w:abstractNumId w:val="4"/>
  </w:num>
  <w:num w:numId="2" w16cid:durableId="445346196">
    <w:abstractNumId w:val="2"/>
  </w:num>
  <w:num w:numId="3" w16cid:durableId="323749124">
    <w:abstractNumId w:val="6"/>
  </w:num>
  <w:num w:numId="4" w16cid:durableId="2145999855">
    <w:abstractNumId w:val="0"/>
  </w:num>
  <w:num w:numId="5" w16cid:durableId="319699941">
    <w:abstractNumId w:val="5"/>
  </w:num>
  <w:num w:numId="6" w16cid:durableId="1710765792">
    <w:abstractNumId w:val="3"/>
  </w:num>
  <w:num w:numId="7" w16cid:durableId="343754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B6F"/>
    <w:rsid w:val="008D1FA4"/>
    <w:rsid w:val="00E41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07EDE"/>
  <w15:docId w15:val="{29D914AD-38E3-43FE-A0B8-0A40E940E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sz w:val="21"/>
        <w:szCs w:val="21"/>
        <w:lang w:val="en" w:eastAsia="en-GB" w:bidi="ar-SA"/>
      </w:rPr>
    </w:rPrDefault>
    <w:pPrDefault>
      <w:pPr>
        <w:spacing w:before="48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outlineLvl w:val="0"/>
    </w:pPr>
    <w:rPr>
      <w:b/>
      <w:bCs/>
      <w:color w:val="0074A6"/>
      <w:sz w:val="28"/>
      <w:szCs w:val="28"/>
    </w:rPr>
  </w:style>
  <w:style w:type="paragraph" w:styleId="Heading2">
    <w:name w:val="heading 2"/>
    <w:basedOn w:val="Normal"/>
    <w:next w:val="Normal"/>
    <w:link w:val="Heading2Char"/>
    <w:uiPriority w:val="9"/>
    <w:semiHidden/>
    <w:unhideWhenUsed/>
    <w:qFormat/>
    <w:pPr>
      <w:keepNext/>
      <w:keepLines/>
      <w:spacing w:before="200"/>
      <w:outlineLvl w:val="1"/>
    </w:pPr>
    <w:rPr>
      <w:b/>
      <w:bCs/>
      <w:color w:val="019CDE"/>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b/>
      <w:bCs/>
      <w:color w:val="019CDE"/>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9">
    <w:name w:val="heading 9"/>
    <w:basedOn w:val="Normal"/>
    <w:next w:val="Normal"/>
    <w:link w:val="Heading9Char"/>
    <w:uiPriority w:val="9"/>
    <w:unhideWhenUsed/>
    <w:rsid w:val="00267F74"/>
    <w:pPr>
      <w:keepNext/>
      <w:keepLines/>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LETIBody">
    <w:name w:val="LETI Body"/>
    <w:basedOn w:val="Normal"/>
    <w:link w:val="LETIBodyChar"/>
    <w:qFormat/>
    <w:rsid w:val="00DC0919"/>
    <w:pPr>
      <w:spacing w:before="120" w:after="240"/>
    </w:pPr>
    <w:rPr>
      <w:szCs w:val="24"/>
    </w:rPr>
  </w:style>
  <w:style w:type="paragraph" w:customStyle="1" w:styleId="LETISubheading">
    <w:name w:val="LETI Sub heading"/>
    <w:basedOn w:val="Normal"/>
    <w:link w:val="LETISubheadingChar"/>
    <w:qFormat/>
    <w:rsid w:val="00104B7C"/>
    <w:rPr>
      <w:b/>
      <w:color w:val="595959" w:themeColor="accent2"/>
      <w:sz w:val="28"/>
      <w:szCs w:val="24"/>
    </w:rPr>
  </w:style>
  <w:style w:type="character" w:customStyle="1" w:styleId="LETIBodyChar">
    <w:name w:val="LETI Body Char"/>
    <w:basedOn w:val="DefaultParagraphFont"/>
    <w:link w:val="LETIBody"/>
    <w:rsid w:val="00DC0919"/>
    <w:rPr>
      <w:rFonts w:ascii="Century Gothic" w:eastAsia="Arial" w:hAnsi="Century Gothic" w:cs="Arial"/>
      <w:szCs w:val="24"/>
      <w:lang w:val="en" w:eastAsia="en-GB"/>
    </w:rPr>
  </w:style>
  <w:style w:type="paragraph" w:customStyle="1" w:styleId="Body">
    <w:name w:val="Body"/>
    <w:basedOn w:val="Normal"/>
    <w:rsid w:val="00E81339"/>
    <w:pPr>
      <w:spacing w:before="120"/>
    </w:pPr>
    <w:rPr>
      <w:rFonts w:ascii="Gill Sans Nova" w:hAnsi="Gill Sans Nova"/>
    </w:rPr>
  </w:style>
  <w:style w:type="paragraph" w:customStyle="1" w:styleId="1stbullet">
    <w:name w:val="1st bullet"/>
    <w:basedOn w:val="Normal"/>
    <w:rsid w:val="00611C43"/>
    <w:pPr>
      <w:numPr>
        <w:numId w:val="1"/>
      </w:numPr>
      <w:spacing w:before="60"/>
      <w:ind w:left="511" w:hanging="369"/>
      <w:outlineLvl w:val="0"/>
    </w:pPr>
  </w:style>
  <w:style w:type="paragraph" w:customStyle="1" w:styleId="2ndbullet">
    <w:name w:val="2nd bullet"/>
    <w:basedOn w:val="Normal"/>
    <w:rsid w:val="00611C43"/>
    <w:pPr>
      <w:numPr>
        <w:numId w:val="2"/>
      </w:numPr>
      <w:spacing w:before="60"/>
      <w:ind w:left="879" w:hanging="369"/>
      <w:outlineLvl w:val="1"/>
    </w:pPr>
  </w:style>
  <w:style w:type="paragraph" w:customStyle="1" w:styleId="Number">
    <w:name w:val="Number"/>
    <w:basedOn w:val="Normal"/>
    <w:rsid w:val="001F5A1F"/>
    <w:pPr>
      <w:numPr>
        <w:numId w:val="3"/>
      </w:numPr>
      <w:spacing w:before="60"/>
      <w:ind w:left="511" w:hanging="369"/>
      <w:outlineLvl w:val="0"/>
    </w:pPr>
  </w:style>
  <w:style w:type="numbering" w:customStyle="1" w:styleId="Numbers">
    <w:name w:val="Numbers"/>
    <w:uiPriority w:val="99"/>
    <w:rsid w:val="002F502F"/>
  </w:style>
  <w:style w:type="character" w:customStyle="1" w:styleId="Heading1Char">
    <w:name w:val="Heading 1 Char"/>
    <w:basedOn w:val="DefaultParagraphFont"/>
    <w:link w:val="Heading1"/>
    <w:uiPriority w:val="9"/>
    <w:rsid w:val="00432F13"/>
    <w:rPr>
      <w:rFonts w:asciiTheme="majorHAnsi" w:eastAsiaTheme="majorEastAsia" w:hAnsiTheme="majorHAnsi" w:cstheme="majorBidi"/>
      <w:b/>
      <w:bCs/>
      <w:color w:val="0074A6" w:themeColor="accent1" w:themeShade="BF"/>
      <w:sz w:val="28"/>
      <w:szCs w:val="28"/>
    </w:rPr>
  </w:style>
  <w:style w:type="table" w:styleId="TableGrid">
    <w:name w:val="Table Grid"/>
    <w:basedOn w:val="TableNormal"/>
    <w:uiPriority w:val="39"/>
    <w:locked/>
    <w:rsid w:val="002F5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2F502F"/>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05222D"/>
  </w:style>
  <w:style w:type="paragraph" w:styleId="Footer">
    <w:name w:val="footer"/>
    <w:basedOn w:val="Normal"/>
    <w:link w:val="FooterChar"/>
    <w:uiPriority w:val="99"/>
    <w:rsid w:val="002F502F"/>
    <w:pPr>
      <w:tabs>
        <w:tab w:val="center" w:pos="4513"/>
        <w:tab w:val="right" w:pos="9026"/>
      </w:tabs>
      <w:spacing w:line="240" w:lineRule="auto"/>
    </w:pPr>
  </w:style>
  <w:style w:type="character" w:customStyle="1" w:styleId="FooterChar">
    <w:name w:val="Footer Char"/>
    <w:basedOn w:val="DefaultParagraphFont"/>
    <w:link w:val="Footer"/>
    <w:uiPriority w:val="99"/>
    <w:rsid w:val="0005222D"/>
  </w:style>
  <w:style w:type="paragraph" w:styleId="ListParagraph">
    <w:name w:val="List Paragraph"/>
    <w:basedOn w:val="Normal"/>
    <w:uiPriority w:val="34"/>
    <w:semiHidden/>
    <w:qFormat/>
    <w:rsid w:val="001D393A"/>
    <w:pPr>
      <w:ind w:left="720"/>
      <w:contextualSpacing/>
    </w:pPr>
  </w:style>
  <w:style w:type="paragraph" w:styleId="TOCHeading">
    <w:name w:val="TOC Heading"/>
    <w:basedOn w:val="Heading1"/>
    <w:next w:val="Normal"/>
    <w:uiPriority w:val="39"/>
    <w:semiHidden/>
    <w:qFormat/>
    <w:rsid w:val="00432F13"/>
    <w:pPr>
      <w:outlineLvl w:val="9"/>
    </w:pPr>
    <w:rPr>
      <w:rFonts w:ascii="Founders Grotesk Medium" w:hAnsi="Founders Grotesk Medium"/>
      <w:b w:val="0"/>
      <w:color w:val="auto"/>
      <w:sz w:val="24"/>
    </w:rPr>
  </w:style>
  <w:style w:type="table" w:styleId="MediumList2">
    <w:name w:val="Medium List 2"/>
    <w:basedOn w:val="TableNormal"/>
    <w:uiPriority w:val="66"/>
    <w:locked/>
    <w:rsid w:val="00432F13"/>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432F13"/>
    <w:pPr>
      <w:spacing w:after="0" w:line="240" w:lineRule="auto"/>
    </w:pPr>
    <w:rPr>
      <w:rFonts w:eastAsiaTheme="majorEastAsia" w:cstheme="majorBidi"/>
      <w:color w:val="000000" w:themeColor="text1"/>
    </w:rPr>
    <w:tblPr>
      <w:tblStyleRowBandSize w:val="1"/>
      <w:tblStyleColBandSize w:val="1"/>
      <w:tblBorders>
        <w:top w:val="single" w:sz="8" w:space="0" w:color="019CDE" w:themeColor="accent1"/>
        <w:left w:val="single" w:sz="8" w:space="0" w:color="019CDE" w:themeColor="accent1"/>
        <w:bottom w:val="single" w:sz="8" w:space="0" w:color="019CDE" w:themeColor="accent1"/>
        <w:right w:val="single" w:sz="8" w:space="0" w:color="019CDE" w:themeColor="accent1"/>
      </w:tblBorders>
    </w:tblPr>
    <w:tblStylePr w:type="firstRow">
      <w:rPr>
        <w:sz w:val="24"/>
        <w:szCs w:val="24"/>
      </w:rPr>
      <w:tblPr/>
      <w:tcPr>
        <w:tcBorders>
          <w:top w:val="nil"/>
          <w:left w:val="nil"/>
          <w:bottom w:val="single" w:sz="24" w:space="0" w:color="019CDE" w:themeColor="accent1"/>
          <w:right w:val="nil"/>
          <w:insideH w:val="nil"/>
          <w:insideV w:val="nil"/>
        </w:tcBorders>
        <w:shd w:val="clear" w:color="auto" w:fill="FFFFFF" w:themeFill="background1"/>
      </w:tcPr>
    </w:tblStylePr>
    <w:tblStylePr w:type="lastRow">
      <w:tblPr/>
      <w:tcPr>
        <w:tcBorders>
          <w:top w:val="single" w:sz="8" w:space="0" w:color="019CD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9CDE" w:themeColor="accent1"/>
          <w:insideH w:val="nil"/>
          <w:insideV w:val="nil"/>
        </w:tcBorders>
        <w:shd w:val="clear" w:color="auto" w:fill="FFFFFF" w:themeFill="background1"/>
      </w:tcPr>
    </w:tblStylePr>
    <w:tblStylePr w:type="lastCol">
      <w:tblPr/>
      <w:tcPr>
        <w:tcBorders>
          <w:top w:val="nil"/>
          <w:left w:val="single" w:sz="8" w:space="0" w:color="019CD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E9FE" w:themeFill="accent1" w:themeFillTint="3F"/>
      </w:tcPr>
    </w:tblStylePr>
    <w:tblStylePr w:type="band1Horz">
      <w:tblPr/>
      <w:tcPr>
        <w:tcBorders>
          <w:top w:val="nil"/>
          <w:bottom w:val="nil"/>
          <w:insideH w:val="nil"/>
          <w:insideV w:val="nil"/>
        </w:tcBorders>
        <w:shd w:val="clear" w:color="auto" w:fill="B8E9F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432F13"/>
    <w:pPr>
      <w:spacing w:after="0" w:line="240" w:lineRule="auto"/>
    </w:pPr>
    <w:rPr>
      <w:rFonts w:eastAsiaTheme="majorEastAsia" w:cstheme="majorBidi"/>
      <w:color w:val="000000" w:themeColor="text1"/>
    </w:rPr>
    <w:tblPr>
      <w:tblStyleRowBandSize w:val="1"/>
      <w:tblStyleColBandSize w:val="1"/>
      <w:tblBorders>
        <w:top w:val="single" w:sz="8" w:space="0" w:color="595959" w:themeColor="accent2"/>
        <w:left w:val="single" w:sz="8" w:space="0" w:color="595959" w:themeColor="accent2"/>
        <w:bottom w:val="single" w:sz="8" w:space="0" w:color="595959" w:themeColor="accent2"/>
        <w:right w:val="single" w:sz="8" w:space="0" w:color="595959" w:themeColor="accent2"/>
      </w:tblBorders>
    </w:tblPr>
    <w:tblStylePr w:type="firstRow">
      <w:rPr>
        <w:sz w:val="24"/>
        <w:szCs w:val="24"/>
      </w:rPr>
      <w:tblPr/>
      <w:tcPr>
        <w:tcBorders>
          <w:top w:val="nil"/>
          <w:left w:val="nil"/>
          <w:bottom w:val="single" w:sz="24" w:space="0" w:color="595959" w:themeColor="accent2"/>
          <w:right w:val="nil"/>
          <w:insideH w:val="nil"/>
          <w:insideV w:val="nil"/>
        </w:tcBorders>
        <w:shd w:val="clear" w:color="auto" w:fill="FFFFFF" w:themeFill="background1"/>
      </w:tcPr>
    </w:tblStylePr>
    <w:tblStylePr w:type="lastRow">
      <w:tblPr/>
      <w:tcPr>
        <w:tcBorders>
          <w:top w:val="single" w:sz="8" w:space="0" w:color="59595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accent2"/>
          <w:insideH w:val="nil"/>
          <w:insideV w:val="nil"/>
        </w:tcBorders>
        <w:shd w:val="clear" w:color="auto" w:fill="FFFFFF" w:themeFill="background1"/>
      </w:tcPr>
    </w:tblStylePr>
    <w:tblStylePr w:type="lastCol">
      <w:tblPr/>
      <w:tcPr>
        <w:tcBorders>
          <w:top w:val="nil"/>
          <w:left w:val="single" w:sz="8" w:space="0" w:color="59595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accent2" w:themeFillTint="3F"/>
      </w:tcPr>
    </w:tblStylePr>
    <w:tblStylePr w:type="band1Horz">
      <w:tblPr/>
      <w:tcPr>
        <w:tcBorders>
          <w:top w:val="nil"/>
          <w:bottom w:val="nil"/>
          <w:insideH w:val="nil"/>
          <w:insideV w:val="nil"/>
        </w:tcBorders>
        <w:shd w:val="clear" w:color="auto" w:fill="D5D5D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432F13"/>
    <w:pPr>
      <w:spacing w:after="0" w:line="240" w:lineRule="auto"/>
    </w:pPr>
    <w:rPr>
      <w:rFonts w:eastAsiaTheme="majorEastAsia" w:cstheme="majorBidi"/>
      <w:color w:val="000000" w:themeColor="text1"/>
    </w:rPr>
    <w:tblPr>
      <w:tblStyleRowBandSize w:val="1"/>
      <w:tblStyleColBandSize w:val="1"/>
      <w:tblBorders>
        <w:top w:val="single" w:sz="8" w:space="0" w:color="EFB106" w:themeColor="accent3"/>
        <w:left w:val="single" w:sz="8" w:space="0" w:color="EFB106" w:themeColor="accent3"/>
        <w:bottom w:val="single" w:sz="8" w:space="0" w:color="EFB106" w:themeColor="accent3"/>
        <w:right w:val="single" w:sz="8" w:space="0" w:color="EFB106" w:themeColor="accent3"/>
      </w:tblBorders>
    </w:tblPr>
    <w:tblStylePr w:type="firstRow">
      <w:rPr>
        <w:sz w:val="24"/>
        <w:szCs w:val="24"/>
      </w:rPr>
      <w:tblPr/>
      <w:tcPr>
        <w:tcBorders>
          <w:top w:val="nil"/>
          <w:left w:val="nil"/>
          <w:bottom w:val="single" w:sz="24" w:space="0" w:color="EFB106" w:themeColor="accent3"/>
          <w:right w:val="nil"/>
          <w:insideH w:val="nil"/>
          <w:insideV w:val="nil"/>
        </w:tcBorders>
        <w:shd w:val="clear" w:color="auto" w:fill="FFFFFF" w:themeFill="background1"/>
      </w:tcPr>
    </w:tblStylePr>
    <w:tblStylePr w:type="lastRow">
      <w:tblPr/>
      <w:tcPr>
        <w:tcBorders>
          <w:top w:val="single" w:sz="8" w:space="0" w:color="EFB10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B106" w:themeColor="accent3"/>
          <w:insideH w:val="nil"/>
          <w:insideV w:val="nil"/>
        </w:tcBorders>
        <w:shd w:val="clear" w:color="auto" w:fill="FFFFFF" w:themeFill="background1"/>
      </w:tcPr>
    </w:tblStylePr>
    <w:tblStylePr w:type="lastCol">
      <w:tblPr/>
      <w:tcPr>
        <w:tcBorders>
          <w:top w:val="nil"/>
          <w:left w:val="single" w:sz="8" w:space="0" w:color="EFB10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CBE" w:themeFill="accent3" w:themeFillTint="3F"/>
      </w:tcPr>
    </w:tblStylePr>
    <w:tblStylePr w:type="band1Horz">
      <w:tblPr/>
      <w:tcPr>
        <w:tcBorders>
          <w:top w:val="nil"/>
          <w:bottom w:val="nil"/>
          <w:insideH w:val="nil"/>
          <w:insideV w:val="nil"/>
        </w:tcBorders>
        <w:shd w:val="clear" w:color="auto" w:fill="FDECB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432F13"/>
    <w:pPr>
      <w:spacing w:after="0" w:line="240" w:lineRule="auto"/>
    </w:pPr>
    <w:rPr>
      <w:rFonts w:eastAsiaTheme="majorEastAsia" w:cstheme="majorBidi"/>
      <w:color w:val="000000" w:themeColor="text1"/>
    </w:rPr>
    <w:tblPr>
      <w:tblStyleRowBandSize w:val="1"/>
      <w:tblStyleColBandSize w:val="1"/>
      <w:tblBorders>
        <w:top w:val="single" w:sz="8" w:space="0" w:color="D22D3D" w:themeColor="accent4"/>
        <w:left w:val="single" w:sz="8" w:space="0" w:color="D22D3D" w:themeColor="accent4"/>
        <w:bottom w:val="single" w:sz="8" w:space="0" w:color="D22D3D" w:themeColor="accent4"/>
        <w:right w:val="single" w:sz="8" w:space="0" w:color="D22D3D" w:themeColor="accent4"/>
      </w:tblBorders>
    </w:tblPr>
    <w:tblStylePr w:type="firstRow">
      <w:rPr>
        <w:sz w:val="24"/>
        <w:szCs w:val="24"/>
      </w:rPr>
      <w:tblPr/>
      <w:tcPr>
        <w:tcBorders>
          <w:top w:val="nil"/>
          <w:left w:val="nil"/>
          <w:bottom w:val="single" w:sz="24" w:space="0" w:color="D22D3D" w:themeColor="accent4"/>
          <w:right w:val="nil"/>
          <w:insideH w:val="nil"/>
          <w:insideV w:val="nil"/>
        </w:tcBorders>
        <w:shd w:val="clear" w:color="auto" w:fill="FFFFFF" w:themeFill="background1"/>
      </w:tcPr>
    </w:tblStylePr>
    <w:tblStylePr w:type="lastRow">
      <w:tblPr/>
      <w:tcPr>
        <w:tcBorders>
          <w:top w:val="single" w:sz="8" w:space="0" w:color="D22D3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2D3D" w:themeColor="accent4"/>
          <w:insideH w:val="nil"/>
          <w:insideV w:val="nil"/>
        </w:tcBorders>
        <w:shd w:val="clear" w:color="auto" w:fill="FFFFFF" w:themeFill="background1"/>
      </w:tcPr>
    </w:tblStylePr>
    <w:tblStylePr w:type="lastCol">
      <w:tblPr/>
      <w:tcPr>
        <w:tcBorders>
          <w:top w:val="nil"/>
          <w:left w:val="single" w:sz="8" w:space="0" w:color="D22D3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BCE" w:themeFill="accent4" w:themeFillTint="3F"/>
      </w:tcPr>
    </w:tblStylePr>
    <w:tblStylePr w:type="band1Horz">
      <w:tblPr/>
      <w:tcPr>
        <w:tcBorders>
          <w:top w:val="nil"/>
          <w:bottom w:val="nil"/>
          <w:insideH w:val="nil"/>
          <w:insideV w:val="nil"/>
        </w:tcBorders>
        <w:shd w:val="clear" w:color="auto" w:fill="F4CB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432F13"/>
    <w:pPr>
      <w:spacing w:after="0" w:line="240" w:lineRule="auto"/>
    </w:pPr>
    <w:rPr>
      <w:rFonts w:eastAsiaTheme="majorEastAsia" w:cstheme="majorBidi"/>
      <w:color w:val="000000" w:themeColor="text1"/>
    </w:rPr>
    <w:tblPr>
      <w:tblStyleRowBandSize w:val="1"/>
      <w:tblStyleColBandSize w:val="1"/>
      <w:tblBorders>
        <w:top w:val="single" w:sz="8" w:space="0" w:color="E6587E" w:themeColor="accent5"/>
        <w:left w:val="single" w:sz="8" w:space="0" w:color="E6587E" w:themeColor="accent5"/>
        <w:bottom w:val="single" w:sz="8" w:space="0" w:color="E6587E" w:themeColor="accent5"/>
        <w:right w:val="single" w:sz="8" w:space="0" w:color="E6587E" w:themeColor="accent5"/>
      </w:tblBorders>
    </w:tblPr>
    <w:tblStylePr w:type="firstRow">
      <w:rPr>
        <w:sz w:val="24"/>
        <w:szCs w:val="24"/>
      </w:rPr>
      <w:tblPr/>
      <w:tcPr>
        <w:tcBorders>
          <w:top w:val="nil"/>
          <w:left w:val="nil"/>
          <w:bottom w:val="single" w:sz="24" w:space="0" w:color="E6587E" w:themeColor="accent5"/>
          <w:right w:val="nil"/>
          <w:insideH w:val="nil"/>
          <w:insideV w:val="nil"/>
        </w:tcBorders>
        <w:shd w:val="clear" w:color="auto" w:fill="FFFFFF" w:themeFill="background1"/>
      </w:tcPr>
    </w:tblStylePr>
    <w:tblStylePr w:type="lastRow">
      <w:tblPr/>
      <w:tcPr>
        <w:tcBorders>
          <w:top w:val="single" w:sz="8" w:space="0" w:color="E6587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587E" w:themeColor="accent5"/>
          <w:insideH w:val="nil"/>
          <w:insideV w:val="nil"/>
        </w:tcBorders>
        <w:shd w:val="clear" w:color="auto" w:fill="FFFFFF" w:themeFill="background1"/>
      </w:tcPr>
    </w:tblStylePr>
    <w:tblStylePr w:type="lastCol">
      <w:tblPr/>
      <w:tcPr>
        <w:tcBorders>
          <w:top w:val="nil"/>
          <w:left w:val="single" w:sz="8" w:space="0" w:color="E6587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DE" w:themeFill="accent5" w:themeFillTint="3F"/>
      </w:tcPr>
    </w:tblStylePr>
    <w:tblStylePr w:type="band1Horz">
      <w:tblPr/>
      <w:tcPr>
        <w:tcBorders>
          <w:top w:val="nil"/>
          <w:bottom w:val="nil"/>
          <w:insideH w:val="nil"/>
          <w:insideV w:val="nil"/>
        </w:tcBorders>
        <w:shd w:val="clear" w:color="auto" w:fill="F8D5D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432F13"/>
    <w:pPr>
      <w:spacing w:after="0" w:line="240" w:lineRule="auto"/>
    </w:pPr>
    <w:rPr>
      <w:rFonts w:eastAsiaTheme="majorEastAsia" w:cstheme="majorBidi"/>
      <w:color w:val="000000" w:themeColor="text1"/>
    </w:rPr>
    <w:tblPr>
      <w:tblStyleRowBandSize w:val="1"/>
      <w:tblStyleColBandSize w:val="1"/>
      <w:tblBorders>
        <w:top w:val="single" w:sz="8" w:space="0" w:color="379587" w:themeColor="accent6"/>
        <w:left w:val="single" w:sz="8" w:space="0" w:color="379587" w:themeColor="accent6"/>
        <w:bottom w:val="single" w:sz="8" w:space="0" w:color="379587" w:themeColor="accent6"/>
        <w:right w:val="single" w:sz="8" w:space="0" w:color="379587" w:themeColor="accent6"/>
      </w:tblBorders>
    </w:tblPr>
    <w:tblStylePr w:type="firstRow">
      <w:rPr>
        <w:sz w:val="24"/>
        <w:szCs w:val="24"/>
      </w:rPr>
      <w:tblPr/>
      <w:tcPr>
        <w:tcBorders>
          <w:top w:val="nil"/>
          <w:left w:val="nil"/>
          <w:bottom w:val="single" w:sz="24" w:space="0" w:color="379587" w:themeColor="accent6"/>
          <w:right w:val="nil"/>
          <w:insideH w:val="nil"/>
          <w:insideV w:val="nil"/>
        </w:tcBorders>
        <w:shd w:val="clear" w:color="auto" w:fill="FFFFFF" w:themeFill="background1"/>
      </w:tcPr>
    </w:tblStylePr>
    <w:tblStylePr w:type="lastRow">
      <w:tblPr/>
      <w:tcPr>
        <w:tcBorders>
          <w:top w:val="single" w:sz="8" w:space="0" w:color="3795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9587" w:themeColor="accent6"/>
          <w:insideH w:val="nil"/>
          <w:insideV w:val="nil"/>
        </w:tcBorders>
        <w:shd w:val="clear" w:color="auto" w:fill="FFFFFF" w:themeFill="background1"/>
      </w:tcPr>
    </w:tblStylePr>
    <w:tblStylePr w:type="lastCol">
      <w:tblPr/>
      <w:tcPr>
        <w:tcBorders>
          <w:top w:val="nil"/>
          <w:left w:val="single" w:sz="8" w:space="0" w:color="3795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EAE5" w:themeFill="accent6" w:themeFillTint="3F"/>
      </w:tcPr>
    </w:tblStylePr>
    <w:tblStylePr w:type="band1Horz">
      <w:tblPr/>
      <w:tcPr>
        <w:tcBorders>
          <w:top w:val="nil"/>
          <w:bottom w:val="nil"/>
          <w:insideH w:val="nil"/>
          <w:insideV w:val="nil"/>
        </w:tcBorders>
        <w:shd w:val="clear" w:color="auto" w:fill="C7EA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locked/>
    <w:rsid w:val="00432F13"/>
    <w:pPr>
      <w:spacing w:after="0" w:line="240" w:lineRule="auto"/>
    </w:pPr>
    <w:rPr>
      <w:rFonts w:eastAsiaTheme="majorEastAsia" w:cstheme="majorBidi"/>
      <w:color w:val="000000" w:themeColor="text1"/>
    </w:rPr>
    <w:tblPr>
      <w:tblStyleRowBandSize w:val="1"/>
      <w:tblStyleColBandSize w:val="1"/>
      <w:tblBorders>
        <w:top w:val="single" w:sz="8" w:space="0" w:color="019CDE" w:themeColor="accent1"/>
        <w:left w:val="single" w:sz="8" w:space="0" w:color="019CDE" w:themeColor="accent1"/>
        <w:bottom w:val="single" w:sz="8" w:space="0" w:color="019CDE" w:themeColor="accent1"/>
        <w:right w:val="single" w:sz="8" w:space="0" w:color="019CDE" w:themeColor="accent1"/>
        <w:insideH w:val="single" w:sz="8" w:space="0" w:color="019CDE" w:themeColor="accent1"/>
        <w:insideV w:val="single" w:sz="8" w:space="0" w:color="019CDE" w:themeColor="accent1"/>
      </w:tblBorders>
    </w:tblPr>
    <w:tcPr>
      <w:shd w:val="clear" w:color="auto" w:fill="B8E9FE" w:themeFill="accent1" w:themeFillTint="3F"/>
    </w:tcPr>
    <w:tblStylePr w:type="firstRow">
      <w:rPr>
        <w:b/>
        <w:bCs/>
        <w:color w:val="000000" w:themeColor="text1"/>
      </w:rPr>
      <w:tblPr/>
      <w:tcPr>
        <w:shd w:val="clear" w:color="auto" w:fill="E2F6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E" w:themeFill="accent1" w:themeFillTint="33"/>
      </w:tcPr>
    </w:tblStylePr>
    <w:tblStylePr w:type="band1Vert">
      <w:tblPr/>
      <w:tcPr>
        <w:shd w:val="clear" w:color="auto" w:fill="70D3FE" w:themeFill="accent1" w:themeFillTint="7F"/>
      </w:tcPr>
    </w:tblStylePr>
    <w:tblStylePr w:type="band1Horz">
      <w:tblPr/>
      <w:tcPr>
        <w:tcBorders>
          <w:insideH w:val="single" w:sz="6" w:space="0" w:color="019CDE" w:themeColor="accent1"/>
          <w:insideV w:val="single" w:sz="6" w:space="0" w:color="019CDE" w:themeColor="accent1"/>
        </w:tcBorders>
        <w:shd w:val="clear" w:color="auto" w:fill="70D3F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432F13"/>
    <w:pPr>
      <w:spacing w:after="0" w:line="240" w:lineRule="auto"/>
    </w:pPr>
    <w:rPr>
      <w:rFonts w:eastAsiaTheme="majorEastAsia" w:cstheme="majorBidi"/>
      <w:color w:val="000000" w:themeColor="text1"/>
    </w:rPr>
    <w:tblPr>
      <w:tblStyleRowBandSize w:val="1"/>
      <w:tblStyleColBandSize w:val="1"/>
      <w:tblBorders>
        <w:top w:val="single" w:sz="8" w:space="0" w:color="595959" w:themeColor="accent2"/>
        <w:left w:val="single" w:sz="8" w:space="0" w:color="595959" w:themeColor="accent2"/>
        <w:bottom w:val="single" w:sz="8" w:space="0" w:color="595959" w:themeColor="accent2"/>
        <w:right w:val="single" w:sz="8" w:space="0" w:color="595959" w:themeColor="accent2"/>
        <w:insideH w:val="single" w:sz="8" w:space="0" w:color="595959" w:themeColor="accent2"/>
        <w:insideV w:val="single" w:sz="8" w:space="0" w:color="595959" w:themeColor="accent2"/>
      </w:tblBorders>
    </w:tblPr>
    <w:tcPr>
      <w:shd w:val="clear" w:color="auto" w:fill="D5D5D5" w:themeFill="accent2" w:themeFillTint="3F"/>
    </w:tcPr>
    <w:tblStylePr w:type="firstRow">
      <w:rPr>
        <w:b/>
        <w:bCs/>
        <w:color w:val="000000" w:themeColor="text1"/>
      </w:rPr>
      <w:tblPr/>
      <w:tcPr>
        <w:shd w:val="clear" w:color="auto" w:fill="EEEEE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DDD" w:themeFill="accent2" w:themeFillTint="33"/>
      </w:tcPr>
    </w:tblStylePr>
    <w:tblStylePr w:type="band1Vert">
      <w:tblPr/>
      <w:tcPr>
        <w:shd w:val="clear" w:color="auto" w:fill="ACACAC" w:themeFill="accent2" w:themeFillTint="7F"/>
      </w:tcPr>
    </w:tblStylePr>
    <w:tblStylePr w:type="band1Horz">
      <w:tblPr/>
      <w:tcPr>
        <w:tcBorders>
          <w:insideH w:val="single" w:sz="6" w:space="0" w:color="595959" w:themeColor="accent2"/>
          <w:insideV w:val="single" w:sz="6" w:space="0" w:color="595959" w:themeColor="accent2"/>
        </w:tcBorders>
        <w:shd w:val="clear" w:color="auto" w:fill="ACACA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432F13"/>
    <w:pPr>
      <w:spacing w:after="0" w:line="240" w:lineRule="auto"/>
    </w:pPr>
    <w:rPr>
      <w:rFonts w:eastAsiaTheme="majorEastAsia" w:cstheme="majorBidi"/>
      <w:color w:val="000000" w:themeColor="text1"/>
    </w:rPr>
    <w:tblPr>
      <w:tblStyleRowBandSize w:val="1"/>
      <w:tblStyleColBandSize w:val="1"/>
      <w:tblBorders>
        <w:top w:val="single" w:sz="8" w:space="0" w:color="EFB106" w:themeColor="accent3"/>
        <w:left w:val="single" w:sz="8" w:space="0" w:color="EFB106" w:themeColor="accent3"/>
        <w:bottom w:val="single" w:sz="8" w:space="0" w:color="EFB106" w:themeColor="accent3"/>
        <w:right w:val="single" w:sz="8" w:space="0" w:color="EFB106" w:themeColor="accent3"/>
        <w:insideH w:val="single" w:sz="8" w:space="0" w:color="EFB106" w:themeColor="accent3"/>
        <w:insideV w:val="single" w:sz="8" w:space="0" w:color="EFB106" w:themeColor="accent3"/>
      </w:tblBorders>
    </w:tblPr>
    <w:tcPr>
      <w:shd w:val="clear" w:color="auto" w:fill="FDECBE" w:themeFill="accent3" w:themeFillTint="3F"/>
    </w:tcPr>
    <w:tblStylePr w:type="firstRow">
      <w:rPr>
        <w:b/>
        <w:bCs/>
        <w:color w:val="000000" w:themeColor="text1"/>
      </w:rPr>
      <w:tblPr/>
      <w:tcPr>
        <w:shd w:val="clear" w:color="auto" w:fill="FEF7E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CB" w:themeFill="accent3" w:themeFillTint="33"/>
      </w:tcPr>
    </w:tblStylePr>
    <w:tblStylePr w:type="band1Vert">
      <w:tblPr/>
      <w:tcPr>
        <w:shd w:val="clear" w:color="auto" w:fill="FBDA7E" w:themeFill="accent3" w:themeFillTint="7F"/>
      </w:tcPr>
    </w:tblStylePr>
    <w:tblStylePr w:type="band1Horz">
      <w:tblPr/>
      <w:tcPr>
        <w:tcBorders>
          <w:insideH w:val="single" w:sz="6" w:space="0" w:color="EFB106" w:themeColor="accent3"/>
          <w:insideV w:val="single" w:sz="6" w:space="0" w:color="EFB106" w:themeColor="accent3"/>
        </w:tcBorders>
        <w:shd w:val="clear" w:color="auto" w:fill="FBDA7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432F13"/>
    <w:pPr>
      <w:spacing w:after="0" w:line="240" w:lineRule="auto"/>
    </w:pPr>
    <w:rPr>
      <w:rFonts w:eastAsiaTheme="majorEastAsia" w:cstheme="majorBidi"/>
      <w:color w:val="000000" w:themeColor="text1"/>
    </w:rPr>
    <w:tblPr>
      <w:tblStyleRowBandSize w:val="1"/>
      <w:tblStyleColBandSize w:val="1"/>
      <w:tblBorders>
        <w:top w:val="single" w:sz="8" w:space="0" w:color="D22D3D" w:themeColor="accent4"/>
        <w:left w:val="single" w:sz="8" w:space="0" w:color="D22D3D" w:themeColor="accent4"/>
        <w:bottom w:val="single" w:sz="8" w:space="0" w:color="D22D3D" w:themeColor="accent4"/>
        <w:right w:val="single" w:sz="8" w:space="0" w:color="D22D3D" w:themeColor="accent4"/>
        <w:insideH w:val="single" w:sz="8" w:space="0" w:color="D22D3D" w:themeColor="accent4"/>
        <w:insideV w:val="single" w:sz="8" w:space="0" w:color="D22D3D" w:themeColor="accent4"/>
      </w:tblBorders>
    </w:tblPr>
    <w:tcPr>
      <w:shd w:val="clear" w:color="auto" w:fill="F4CBCE" w:themeFill="accent4" w:themeFillTint="3F"/>
    </w:tcPr>
    <w:tblStylePr w:type="firstRow">
      <w:rPr>
        <w:b/>
        <w:bCs/>
        <w:color w:val="000000" w:themeColor="text1"/>
      </w:rPr>
      <w:tblPr/>
      <w:tcPr>
        <w:shd w:val="clear" w:color="auto" w:fill="FAEA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5D8" w:themeFill="accent4" w:themeFillTint="33"/>
      </w:tcPr>
    </w:tblStylePr>
    <w:tblStylePr w:type="band1Vert">
      <w:tblPr/>
      <w:tcPr>
        <w:shd w:val="clear" w:color="auto" w:fill="E8969E" w:themeFill="accent4" w:themeFillTint="7F"/>
      </w:tcPr>
    </w:tblStylePr>
    <w:tblStylePr w:type="band1Horz">
      <w:tblPr/>
      <w:tcPr>
        <w:tcBorders>
          <w:insideH w:val="single" w:sz="6" w:space="0" w:color="D22D3D" w:themeColor="accent4"/>
          <w:insideV w:val="single" w:sz="6" w:space="0" w:color="D22D3D" w:themeColor="accent4"/>
        </w:tcBorders>
        <w:shd w:val="clear" w:color="auto" w:fill="E8969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432F13"/>
    <w:pPr>
      <w:spacing w:after="0" w:line="240" w:lineRule="auto"/>
    </w:pPr>
    <w:rPr>
      <w:rFonts w:eastAsiaTheme="majorEastAsia" w:cstheme="majorBidi"/>
      <w:color w:val="000000" w:themeColor="text1"/>
    </w:rPr>
    <w:tblPr>
      <w:tblStyleRowBandSize w:val="1"/>
      <w:tblStyleColBandSize w:val="1"/>
      <w:tblBorders>
        <w:top w:val="single" w:sz="8" w:space="0" w:color="E6587E" w:themeColor="accent5"/>
        <w:left w:val="single" w:sz="8" w:space="0" w:color="E6587E" w:themeColor="accent5"/>
        <w:bottom w:val="single" w:sz="8" w:space="0" w:color="E6587E" w:themeColor="accent5"/>
        <w:right w:val="single" w:sz="8" w:space="0" w:color="E6587E" w:themeColor="accent5"/>
        <w:insideH w:val="single" w:sz="8" w:space="0" w:color="E6587E" w:themeColor="accent5"/>
        <w:insideV w:val="single" w:sz="8" w:space="0" w:color="E6587E" w:themeColor="accent5"/>
      </w:tblBorders>
    </w:tblPr>
    <w:tcPr>
      <w:shd w:val="clear" w:color="auto" w:fill="F8D5DE" w:themeFill="accent5" w:themeFillTint="3F"/>
    </w:tcPr>
    <w:tblStylePr w:type="firstRow">
      <w:rPr>
        <w:b/>
        <w:bCs/>
        <w:color w:val="000000" w:themeColor="text1"/>
      </w:rPr>
      <w:tblPr/>
      <w:tcPr>
        <w:shd w:val="clear" w:color="auto" w:fill="FCEE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DE4" w:themeFill="accent5" w:themeFillTint="33"/>
      </w:tcPr>
    </w:tblStylePr>
    <w:tblStylePr w:type="band1Vert">
      <w:tblPr/>
      <w:tcPr>
        <w:shd w:val="clear" w:color="auto" w:fill="F2ABBE" w:themeFill="accent5" w:themeFillTint="7F"/>
      </w:tcPr>
    </w:tblStylePr>
    <w:tblStylePr w:type="band1Horz">
      <w:tblPr/>
      <w:tcPr>
        <w:tcBorders>
          <w:insideH w:val="single" w:sz="6" w:space="0" w:color="E6587E" w:themeColor="accent5"/>
          <w:insideV w:val="single" w:sz="6" w:space="0" w:color="E6587E" w:themeColor="accent5"/>
        </w:tcBorders>
        <w:shd w:val="clear" w:color="auto" w:fill="F2AB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432F13"/>
    <w:pPr>
      <w:spacing w:after="0" w:line="240" w:lineRule="auto"/>
    </w:pPr>
    <w:rPr>
      <w:rFonts w:eastAsiaTheme="majorEastAsia" w:cstheme="majorBidi"/>
      <w:color w:val="000000" w:themeColor="text1"/>
    </w:rPr>
    <w:tblPr>
      <w:tblStyleRowBandSize w:val="1"/>
      <w:tblStyleColBandSize w:val="1"/>
      <w:tblBorders>
        <w:top w:val="single" w:sz="8" w:space="0" w:color="379587" w:themeColor="accent6"/>
        <w:left w:val="single" w:sz="8" w:space="0" w:color="379587" w:themeColor="accent6"/>
        <w:bottom w:val="single" w:sz="8" w:space="0" w:color="379587" w:themeColor="accent6"/>
        <w:right w:val="single" w:sz="8" w:space="0" w:color="379587" w:themeColor="accent6"/>
        <w:insideH w:val="single" w:sz="8" w:space="0" w:color="379587" w:themeColor="accent6"/>
        <w:insideV w:val="single" w:sz="8" w:space="0" w:color="379587" w:themeColor="accent6"/>
      </w:tblBorders>
    </w:tblPr>
    <w:tcPr>
      <w:shd w:val="clear" w:color="auto" w:fill="C7EAE5" w:themeFill="accent6" w:themeFillTint="3F"/>
    </w:tcPr>
    <w:tblStylePr w:type="firstRow">
      <w:rPr>
        <w:b/>
        <w:bCs/>
        <w:color w:val="000000" w:themeColor="text1"/>
      </w:rPr>
      <w:tblPr/>
      <w:tcPr>
        <w:shd w:val="clear" w:color="auto" w:fill="E9F7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EEEA" w:themeFill="accent6" w:themeFillTint="33"/>
      </w:tcPr>
    </w:tblStylePr>
    <w:tblStylePr w:type="band1Vert">
      <w:tblPr/>
      <w:tcPr>
        <w:shd w:val="clear" w:color="auto" w:fill="8FD6CB" w:themeFill="accent6" w:themeFillTint="7F"/>
      </w:tcPr>
    </w:tblStylePr>
    <w:tblStylePr w:type="band1Horz">
      <w:tblPr/>
      <w:tcPr>
        <w:tcBorders>
          <w:insideH w:val="single" w:sz="6" w:space="0" w:color="379587" w:themeColor="accent6"/>
          <w:insideV w:val="single" w:sz="6" w:space="0" w:color="379587" w:themeColor="accent6"/>
        </w:tcBorders>
        <w:shd w:val="clear" w:color="auto" w:fill="8FD6CB" w:themeFill="accent6" w:themeFillTint="7F"/>
      </w:tcPr>
    </w:tblStylePr>
    <w:tblStylePr w:type="nwCell">
      <w:tblPr/>
      <w:tcPr>
        <w:shd w:val="clear" w:color="auto" w:fill="FFFFFF" w:themeFill="background1"/>
      </w:tcPr>
    </w:tblStylePr>
  </w:style>
  <w:style w:type="table" w:styleId="DarkList">
    <w:name w:val="Dark List"/>
    <w:basedOn w:val="TableNormal"/>
    <w:uiPriority w:val="70"/>
    <w:locked/>
    <w:rsid w:val="00432F1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BalloonText">
    <w:name w:val="Balloon Text"/>
    <w:basedOn w:val="Normal"/>
    <w:link w:val="BalloonTextChar"/>
    <w:uiPriority w:val="99"/>
    <w:semiHidden/>
    <w:rsid w:val="00432F13"/>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05222D"/>
    <w:rPr>
      <w:rFonts w:cs="Tahoma"/>
      <w:sz w:val="16"/>
      <w:szCs w:val="16"/>
    </w:rPr>
  </w:style>
  <w:style w:type="paragraph" w:styleId="BlockText">
    <w:name w:val="Block Text"/>
    <w:basedOn w:val="Normal"/>
    <w:uiPriority w:val="99"/>
    <w:semiHidden/>
    <w:rsid w:val="00432F13"/>
    <w:pPr>
      <w:pBdr>
        <w:top w:val="single" w:sz="2" w:space="10" w:color="019CDE" w:themeColor="accent1" w:shadow="1"/>
        <w:left w:val="single" w:sz="2" w:space="10" w:color="019CDE" w:themeColor="accent1" w:shadow="1"/>
        <w:bottom w:val="single" w:sz="2" w:space="10" w:color="019CDE" w:themeColor="accent1" w:shadow="1"/>
        <w:right w:val="single" w:sz="2" w:space="10" w:color="019CDE" w:themeColor="accent1" w:shadow="1"/>
      </w:pBdr>
      <w:ind w:left="1152" w:right="1152"/>
    </w:pPr>
    <w:rPr>
      <w:rFonts w:eastAsiaTheme="minorEastAsia"/>
      <w:iCs/>
      <w:color w:val="019CDE" w:themeColor="accent1"/>
    </w:rPr>
  </w:style>
  <w:style w:type="paragraph" w:styleId="CommentText">
    <w:name w:val="annotation text"/>
    <w:basedOn w:val="Normal"/>
    <w:link w:val="CommentTextChar"/>
    <w:uiPriority w:val="99"/>
    <w:semiHidden/>
    <w:rsid w:val="00432F13"/>
    <w:pPr>
      <w:spacing w:line="240" w:lineRule="auto"/>
    </w:pPr>
    <w:rPr>
      <w:sz w:val="20"/>
      <w:szCs w:val="20"/>
    </w:rPr>
  </w:style>
  <w:style w:type="character" w:customStyle="1" w:styleId="CommentTextChar">
    <w:name w:val="Comment Text Char"/>
    <w:basedOn w:val="DefaultParagraphFont"/>
    <w:link w:val="CommentText"/>
    <w:uiPriority w:val="99"/>
    <w:semiHidden/>
    <w:rsid w:val="0005222D"/>
    <w:rPr>
      <w:sz w:val="20"/>
      <w:szCs w:val="20"/>
    </w:rPr>
  </w:style>
  <w:style w:type="paragraph" w:styleId="CommentSubject">
    <w:name w:val="annotation subject"/>
    <w:basedOn w:val="CommentText"/>
    <w:next w:val="CommentText"/>
    <w:link w:val="CommentSubjectChar"/>
    <w:uiPriority w:val="99"/>
    <w:semiHidden/>
    <w:rsid w:val="00432F13"/>
    <w:rPr>
      <w:bCs/>
    </w:rPr>
  </w:style>
  <w:style w:type="character" w:customStyle="1" w:styleId="CommentSubjectChar">
    <w:name w:val="Comment Subject Char"/>
    <w:basedOn w:val="CommentTextChar"/>
    <w:link w:val="CommentSubject"/>
    <w:uiPriority w:val="99"/>
    <w:semiHidden/>
    <w:rsid w:val="0005222D"/>
    <w:rPr>
      <w:bCs/>
      <w:sz w:val="20"/>
      <w:szCs w:val="20"/>
    </w:rPr>
  </w:style>
  <w:style w:type="paragraph" w:styleId="DocumentMap">
    <w:name w:val="Document Map"/>
    <w:basedOn w:val="Normal"/>
    <w:link w:val="DocumentMapChar"/>
    <w:uiPriority w:val="99"/>
    <w:semiHidden/>
    <w:rsid w:val="00432F13"/>
    <w:pPr>
      <w:spacing w:line="240" w:lineRule="auto"/>
    </w:pPr>
    <w:rPr>
      <w:rFonts w:cs="Tahoma"/>
      <w:sz w:val="16"/>
      <w:szCs w:val="16"/>
    </w:rPr>
  </w:style>
  <w:style w:type="character" w:customStyle="1" w:styleId="DocumentMapChar">
    <w:name w:val="Document Map Char"/>
    <w:basedOn w:val="DefaultParagraphFont"/>
    <w:link w:val="DocumentMap"/>
    <w:uiPriority w:val="99"/>
    <w:semiHidden/>
    <w:rsid w:val="0005222D"/>
    <w:rPr>
      <w:rFonts w:cs="Tahoma"/>
      <w:sz w:val="16"/>
      <w:szCs w:val="16"/>
    </w:rPr>
  </w:style>
  <w:style w:type="paragraph" w:styleId="EnvelopeAddress">
    <w:name w:val="envelope address"/>
    <w:basedOn w:val="Normal"/>
    <w:uiPriority w:val="99"/>
    <w:semiHidden/>
    <w:rsid w:val="00432F13"/>
    <w:pPr>
      <w:framePr w:w="7920" w:h="1980" w:hRule="exact" w:hSpace="180" w:wrap="auto" w:hAnchor="page" w:xAlign="center" w:yAlign="bottom"/>
      <w:spacing w:line="240" w:lineRule="auto"/>
      <w:ind w:left="2880"/>
    </w:pPr>
    <w:rPr>
      <w:rFonts w:eastAsiaTheme="majorEastAsia" w:cstheme="majorBidi"/>
      <w:sz w:val="24"/>
      <w:szCs w:val="24"/>
    </w:rPr>
  </w:style>
  <w:style w:type="paragraph" w:styleId="EnvelopeReturn">
    <w:name w:val="envelope return"/>
    <w:basedOn w:val="Normal"/>
    <w:uiPriority w:val="99"/>
    <w:semiHidden/>
    <w:rsid w:val="00432F13"/>
    <w:pPr>
      <w:spacing w:line="240" w:lineRule="auto"/>
    </w:pPr>
    <w:rPr>
      <w:rFonts w:eastAsiaTheme="majorEastAsia" w:cstheme="majorBidi"/>
      <w:sz w:val="20"/>
      <w:szCs w:val="20"/>
    </w:rPr>
  </w:style>
  <w:style w:type="character" w:styleId="HTMLCode">
    <w:name w:val="HTML Code"/>
    <w:basedOn w:val="DefaultParagraphFont"/>
    <w:uiPriority w:val="99"/>
    <w:semiHidden/>
    <w:rsid w:val="00432F13"/>
    <w:rPr>
      <w:rFonts w:ascii="Founders Grotesk Regular" w:hAnsi="Founders Grotesk Regular" w:cs="Consolas"/>
      <w:sz w:val="20"/>
      <w:szCs w:val="20"/>
    </w:rPr>
  </w:style>
  <w:style w:type="character" w:styleId="HTMLKeyboard">
    <w:name w:val="HTML Keyboard"/>
    <w:basedOn w:val="DefaultParagraphFont"/>
    <w:uiPriority w:val="99"/>
    <w:semiHidden/>
    <w:rsid w:val="00432F13"/>
    <w:rPr>
      <w:rFonts w:ascii="Founders Grotesk Regular" w:hAnsi="Founders Grotesk Regular" w:cs="Consolas"/>
      <w:sz w:val="20"/>
      <w:szCs w:val="20"/>
    </w:rPr>
  </w:style>
  <w:style w:type="paragraph" w:styleId="HTMLPreformatted">
    <w:name w:val="HTML Preformatted"/>
    <w:basedOn w:val="Normal"/>
    <w:link w:val="HTMLPreformattedChar"/>
    <w:uiPriority w:val="99"/>
    <w:semiHidden/>
    <w:rsid w:val="00432F13"/>
    <w:pPr>
      <w:spacing w:line="240" w:lineRule="auto"/>
    </w:pPr>
    <w:rPr>
      <w:rFonts w:cs="Consolas"/>
      <w:sz w:val="20"/>
      <w:szCs w:val="20"/>
    </w:rPr>
  </w:style>
  <w:style w:type="character" w:customStyle="1" w:styleId="HTMLPreformattedChar">
    <w:name w:val="HTML Preformatted Char"/>
    <w:basedOn w:val="DefaultParagraphFont"/>
    <w:link w:val="HTMLPreformatted"/>
    <w:uiPriority w:val="99"/>
    <w:semiHidden/>
    <w:rsid w:val="0005222D"/>
    <w:rPr>
      <w:rFonts w:cs="Consolas"/>
      <w:sz w:val="20"/>
      <w:szCs w:val="20"/>
    </w:rPr>
  </w:style>
  <w:style w:type="character" w:styleId="HTMLSample">
    <w:name w:val="HTML Sample"/>
    <w:basedOn w:val="DefaultParagraphFont"/>
    <w:uiPriority w:val="99"/>
    <w:semiHidden/>
    <w:rsid w:val="00432F13"/>
    <w:rPr>
      <w:rFonts w:ascii="Founders Grotesk Regular" w:hAnsi="Founders Grotesk Regular" w:cs="Consolas"/>
      <w:sz w:val="24"/>
      <w:szCs w:val="24"/>
    </w:rPr>
  </w:style>
  <w:style w:type="character" w:styleId="HTMLTypewriter">
    <w:name w:val="HTML Typewriter"/>
    <w:basedOn w:val="DefaultParagraphFont"/>
    <w:uiPriority w:val="99"/>
    <w:semiHidden/>
    <w:rsid w:val="00432F13"/>
    <w:rPr>
      <w:rFonts w:ascii="Founders Grotesk Regular" w:hAnsi="Founders Grotesk Regular" w:cs="Consolas"/>
      <w:sz w:val="20"/>
      <w:szCs w:val="20"/>
    </w:rPr>
  </w:style>
  <w:style w:type="paragraph" w:styleId="Index1">
    <w:name w:val="index 1"/>
    <w:basedOn w:val="Normal"/>
    <w:next w:val="Normal"/>
    <w:autoRedefine/>
    <w:uiPriority w:val="99"/>
    <w:semiHidden/>
    <w:rsid w:val="00432F13"/>
    <w:pPr>
      <w:spacing w:line="240" w:lineRule="auto"/>
      <w:ind w:left="210" w:hanging="210"/>
    </w:pPr>
  </w:style>
  <w:style w:type="paragraph" w:styleId="IndexHeading">
    <w:name w:val="index heading"/>
    <w:basedOn w:val="Normal"/>
    <w:next w:val="Index1"/>
    <w:uiPriority w:val="99"/>
    <w:semiHidden/>
    <w:rsid w:val="00432F13"/>
    <w:rPr>
      <w:rFonts w:eastAsiaTheme="majorEastAsia" w:cstheme="majorBidi"/>
      <w:bCs/>
    </w:rPr>
  </w:style>
  <w:style w:type="paragraph" w:styleId="MacroText">
    <w:name w:val="macro"/>
    <w:link w:val="MacroTextChar"/>
    <w:uiPriority w:val="99"/>
    <w:semiHidden/>
    <w:rsid w:val="00432F13"/>
    <w:pPr>
      <w:tabs>
        <w:tab w:val="left" w:pos="480"/>
        <w:tab w:val="left" w:pos="960"/>
        <w:tab w:val="left" w:pos="1440"/>
        <w:tab w:val="left" w:pos="1920"/>
        <w:tab w:val="left" w:pos="2400"/>
        <w:tab w:val="left" w:pos="2880"/>
        <w:tab w:val="left" w:pos="3360"/>
        <w:tab w:val="left" w:pos="3840"/>
        <w:tab w:val="left" w:pos="4320"/>
      </w:tabs>
      <w:spacing w:after="0"/>
    </w:pPr>
    <w:rPr>
      <w:rFonts w:cs="Consolas"/>
      <w:sz w:val="20"/>
      <w:szCs w:val="20"/>
    </w:rPr>
  </w:style>
  <w:style w:type="character" w:customStyle="1" w:styleId="MacroTextChar">
    <w:name w:val="Macro Text Char"/>
    <w:basedOn w:val="DefaultParagraphFont"/>
    <w:link w:val="MacroText"/>
    <w:uiPriority w:val="99"/>
    <w:semiHidden/>
    <w:rsid w:val="0005222D"/>
    <w:rPr>
      <w:rFonts w:cs="Consolas"/>
      <w:sz w:val="20"/>
      <w:szCs w:val="20"/>
    </w:rPr>
  </w:style>
  <w:style w:type="paragraph" w:styleId="MessageHeader">
    <w:name w:val="Message Header"/>
    <w:basedOn w:val="Normal"/>
    <w:link w:val="MessageHeaderChar"/>
    <w:uiPriority w:val="99"/>
    <w:semiHidden/>
    <w:rsid w:val="00432F1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05222D"/>
    <w:rPr>
      <w:rFonts w:eastAsiaTheme="majorEastAsia" w:cstheme="majorBidi"/>
      <w:sz w:val="24"/>
      <w:szCs w:val="24"/>
      <w:shd w:val="pct20" w:color="auto" w:fill="auto"/>
    </w:rPr>
  </w:style>
  <w:style w:type="paragraph" w:styleId="NormalWeb">
    <w:name w:val="Normal (Web)"/>
    <w:basedOn w:val="Normal"/>
    <w:uiPriority w:val="99"/>
    <w:semiHidden/>
    <w:rsid w:val="00432F13"/>
    <w:rPr>
      <w:rFonts w:cs="Times New Roman"/>
      <w:sz w:val="24"/>
      <w:szCs w:val="24"/>
    </w:rPr>
  </w:style>
  <w:style w:type="paragraph" w:styleId="PlainText">
    <w:name w:val="Plain Text"/>
    <w:basedOn w:val="Normal"/>
    <w:link w:val="PlainTextChar"/>
    <w:uiPriority w:val="99"/>
    <w:semiHidden/>
    <w:rsid w:val="00432F13"/>
    <w:pPr>
      <w:spacing w:line="240" w:lineRule="auto"/>
    </w:pPr>
    <w:rPr>
      <w:rFonts w:cs="Consolas"/>
    </w:rPr>
  </w:style>
  <w:style w:type="character" w:customStyle="1" w:styleId="PlainTextChar">
    <w:name w:val="Plain Text Char"/>
    <w:basedOn w:val="DefaultParagraphFont"/>
    <w:link w:val="PlainText"/>
    <w:uiPriority w:val="99"/>
    <w:semiHidden/>
    <w:rsid w:val="0005222D"/>
    <w:rPr>
      <w:rFonts w:cs="Consolas"/>
    </w:rPr>
  </w:style>
  <w:style w:type="paragraph" w:styleId="TOAHeading">
    <w:name w:val="toa heading"/>
    <w:basedOn w:val="Normal"/>
    <w:next w:val="Normal"/>
    <w:uiPriority w:val="99"/>
    <w:semiHidden/>
    <w:rsid w:val="00432F13"/>
    <w:pPr>
      <w:spacing w:before="120"/>
    </w:pPr>
    <w:rPr>
      <w:rFonts w:eastAsiaTheme="majorEastAsia" w:cstheme="majorBidi"/>
      <w:bCs/>
      <w:sz w:val="24"/>
      <w:szCs w:val="24"/>
    </w:rPr>
  </w:style>
  <w:style w:type="character" w:customStyle="1" w:styleId="Heading3Char">
    <w:name w:val="Heading 3 Char"/>
    <w:basedOn w:val="DefaultParagraphFont"/>
    <w:link w:val="Heading3"/>
    <w:uiPriority w:val="9"/>
    <w:semiHidden/>
    <w:rsid w:val="00EB33F1"/>
    <w:rPr>
      <w:rFonts w:asciiTheme="majorHAnsi" w:eastAsiaTheme="majorEastAsia" w:hAnsiTheme="majorHAnsi" w:cstheme="majorBidi"/>
      <w:b/>
      <w:bCs/>
      <w:color w:val="019CDE" w:themeColor="accent1"/>
    </w:rPr>
  </w:style>
  <w:style w:type="character" w:customStyle="1" w:styleId="Heading2Char">
    <w:name w:val="Heading 2 Char"/>
    <w:basedOn w:val="DefaultParagraphFont"/>
    <w:link w:val="Heading2"/>
    <w:uiPriority w:val="9"/>
    <w:semiHidden/>
    <w:rsid w:val="00EB33F1"/>
    <w:rPr>
      <w:rFonts w:asciiTheme="majorHAnsi" w:eastAsiaTheme="majorEastAsia" w:hAnsiTheme="majorHAnsi" w:cstheme="majorBidi"/>
      <w:b/>
      <w:bCs/>
      <w:color w:val="019CDE" w:themeColor="accent1"/>
      <w:sz w:val="26"/>
      <w:szCs w:val="26"/>
    </w:rPr>
  </w:style>
  <w:style w:type="paragraph" w:styleId="TOC1">
    <w:name w:val="toc 1"/>
    <w:basedOn w:val="Normal"/>
    <w:next w:val="Normal"/>
    <w:autoRedefine/>
    <w:uiPriority w:val="39"/>
    <w:semiHidden/>
    <w:rsid w:val="00EB33F1"/>
    <w:pPr>
      <w:spacing w:after="100"/>
    </w:pPr>
  </w:style>
  <w:style w:type="character" w:styleId="Hyperlink">
    <w:name w:val="Hyperlink"/>
    <w:basedOn w:val="DefaultParagraphFont"/>
    <w:uiPriority w:val="99"/>
    <w:semiHidden/>
    <w:rsid w:val="00EB33F1"/>
    <w:rPr>
      <w:rFonts w:ascii="Founders Grotesk Regular" w:hAnsi="Founders Grotesk Regular"/>
      <w:b w:val="0"/>
      <w:i w:val="0"/>
      <w:color w:val="auto"/>
      <w:sz w:val="21"/>
      <w:u w:val="single"/>
    </w:rPr>
  </w:style>
  <w:style w:type="character" w:styleId="FollowedHyperlink">
    <w:name w:val="FollowedHyperlink"/>
    <w:basedOn w:val="DefaultParagraphFont"/>
    <w:uiPriority w:val="99"/>
    <w:semiHidden/>
    <w:rsid w:val="00EB33F1"/>
    <w:rPr>
      <w:color w:val="954F72" w:themeColor="followedHyperlink"/>
      <w:u w:val="single"/>
    </w:rPr>
  </w:style>
  <w:style w:type="paragraph" w:styleId="FootnoteText">
    <w:name w:val="footnote text"/>
    <w:basedOn w:val="Normal"/>
    <w:link w:val="FootnoteTextChar"/>
    <w:uiPriority w:val="99"/>
    <w:semiHidden/>
    <w:rsid w:val="00EB33F1"/>
    <w:pPr>
      <w:spacing w:line="240" w:lineRule="auto"/>
    </w:pPr>
    <w:rPr>
      <w:sz w:val="20"/>
      <w:szCs w:val="20"/>
    </w:rPr>
  </w:style>
  <w:style w:type="character" w:customStyle="1" w:styleId="FootnoteTextChar">
    <w:name w:val="Footnote Text Char"/>
    <w:basedOn w:val="DefaultParagraphFont"/>
    <w:link w:val="FootnoteText"/>
    <w:uiPriority w:val="99"/>
    <w:semiHidden/>
    <w:rsid w:val="0005222D"/>
    <w:rPr>
      <w:sz w:val="20"/>
      <w:szCs w:val="20"/>
    </w:rPr>
  </w:style>
  <w:style w:type="character" w:styleId="FootnoteReference">
    <w:name w:val="footnote reference"/>
    <w:basedOn w:val="DefaultParagraphFont"/>
    <w:uiPriority w:val="99"/>
    <w:semiHidden/>
    <w:rsid w:val="00EB33F1"/>
    <w:rPr>
      <w:vertAlign w:val="superscript"/>
    </w:rPr>
  </w:style>
  <w:style w:type="paragraph" w:customStyle="1" w:styleId="LETIheading">
    <w:name w:val="LETI heading"/>
    <w:basedOn w:val="Normal"/>
    <w:link w:val="LETIheadingChar"/>
    <w:qFormat/>
    <w:rsid w:val="00DC0919"/>
    <w:pPr>
      <w:spacing w:after="480" w:line="240" w:lineRule="auto"/>
    </w:pPr>
    <w:rPr>
      <w:b/>
      <w:bCs/>
      <w:color w:val="019CDE" w:themeColor="accent1"/>
      <w:sz w:val="36"/>
      <w:szCs w:val="52"/>
    </w:rPr>
  </w:style>
  <w:style w:type="paragraph" w:customStyle="1" w:styleId="LETIbullets">
    <w:name w:val="LETI bullets"/>
    <w:basedOn w:val="LETIBody"/>
    <w:link w:val="LETIbulletsChar"/>
    <w:qFormat/>
    <w:rsid w:val="002F23C4"/>
    <w:pPr>
      <w:numPr>
        <w:numId w:val="7"/>
      </w:numPr>
      <w:spacing w:before="0" w:after="0"/>
    </w:pPr>
  </w:style>
  <w:style w:type="character" w:customStyle="1" w:styleId="LETIheadingChar">
    <w:name w:val="LETI heading Char"/>
    <w:basedOn w:val="DefaultParagraphFont"/>
    <w:link w:val="LETIheading"/>
    <w:rsid w:val="00DC0919"/>
    <w:rPr>
      <w:rFonts w:ascii="Century Gothic" w:eastAsia="Arial" w:hAnsi="Century Gothic" w:cs="Arial"/>
      <w:b/>
      <w:bCs/>
      <w:color w:val="019CDE" w:themeColor="accent1"/>
      <w:sz w:val="36"/>
      <w:szCs w:val="52"/>
      <w:lang w:val="en" w:eastAsia="en-GB"/>
    </w:rPr>
  </w:style>
  <w:style w:type="character" w:customStyle="1" w:styleId="LETISubheadingChar">
    <w:name w:val="LETI Sub heading Char"/>
    <w:basedOn w:val="DefaultParagraphFont"/>
    <w:link w:val="LETISubheading"/>
    <w:rsid w:val="00104B7C"/>
    <w:rPr>
      <w:rFonts w:ascii="Century Gothic" w:eastAsia="Arial" w:hAnsi="Century Gothic" w:cs="Arial"/>
      <w:b/>
      <w:color w:val="595959" w:themeColor="accent2"/>
      <w:sz w:val="28"/>
      <w:szCs w:val="24"/>
      <w:lang w:val="en" w:eastAsia="en-GB"/>
    </w:rPr>
  </w:style>
  <w:style w:type="character" w:customStyle="1" w:styleId="LETIbulletsChar">
    <w:name w:val="LETI bullets Char"/>
    <w:basedOn w:val="LETIBodyChar"/>
    <w:link w:val="LETIbullets"/>
    <w:rsid w:val="002F23C4"/>
    <w:rPr>
      <w:rFonts w:ascii="Gill Sans Nova" w:eastAsia="Arial" w:hAnsi="Gill Sans Nova" w:cs="Arial"/>
      <w:sz w:val="24"/>
      <w:szCs w:val="24"/>
      <w:lang w:val="en" w:eastAsia="en-GB"/>
    </w:rPr>
  </w:style>
  <w:style w:type="character" w:customStyle="1" w:styleId="Heading9Char">
    <w:name w:val="Heading 9 Char"/>
    <w:basedOn w:val="DefaultParagraphFont"/>
    <w:link w:val="Heading9"/>
    <w:uiPriority w:val="9"/>
    <w:rsid w:val="00267F74"/>
    <w:rPr>
      <w:rFonts w:asciiTheme="majorHAnsi" w:eastAsiaTheme="majorEastAsia" w:hAnsiTheme="majorHAnsi" w:cstheme="majorBidi"/>
      <w:i/>
      <w:iCs/>
      <w:color w:val="272727" w:themeColor="text1" w:themeTint="D8"/>
      <w:lang w:val="en" w:eastAsia="en-GB"/>
    </w:rPr>
  </w:style>
  <w:style w:type="paragraph" w:customStyle="1" w:styleId="LETIsubheading2">
    <w:name w:val="LETI sub heading 2"/>
    <w:basedOn w:val="LETIBody"/>
    <w:link w:val="LETIsubheading2Char"/>
    <w:qFormat/>
    <w:rsid w:val="00104B7C"/>
    <w:pPr>
      <w:spacing w:before="240" w:after="0"/>
    </w:pPr>
    <w:rPr>
      <w:b/>
    </w:rPr>
  </w:style>
  <w:style w:type="character" w:customStyle="1" w:styleId="LETIsubheading2Char">
    <w:name w:val="LETI sub heading 2 Char"/>
    <w:basedOn w:val="LETIBodyChar"/>
    <w:link w:val="LETIsubheading2"/>
    <w:rsid w:val="00104B7C"/>
    <w:rPr>
      <w:rFonts w:ascii="Century Gothic" w:eastAsia="Arial" w:hAnsi="Century Gothic" w:cs="Arial"/>
      <w:b/>
      <w:szCs w:val="24"/>
      <w:lang w:val="en"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LETI">
      <a:dk1>
        <a:sysClr val="windowText" lastClr="000000"/>
      </a:dk1>
      <a:lt1>
        <a:sysClr val="window" lastClr="FFFFFF"/>
      </a:lt1>
      <a:dk2>
        <a:srgbClr val="2B5480"/>
      </a:dk2>
      <a:lt2>
        <a:srgbClr val="E7E6E6"/>
      </a:lt2>
      <a:accent1>
        <a:srgbClr val="019CDE"/>
      </a:accent1>
      <a:accent2>
        <a:srgbClr val="595959"/>
      </a:accent2>
      <a:accent3>
        <a:srgbClr val="EFB106"/>
      </a:accent3>
      <a:accent4>
        <a:srgbClr val="D22D3D"/>
      </a:accent4>
      <a:accent5>
        <a:srgbClr val="E6587E"/>
      </a:accent5>
      <a:accent6>
        <a:srgbClr val="379587"/>
      </a:accent6>
      <a:hlink>
        <a:srgbClr val="0563C1"/>
      </a:hlink>
      <a:folHlink>
        <a:srgbClr val="954F72"/>
      </a:folHlink>
    </a:clrScheme>
    <a:fontScheme name="LETI">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KZ2pArniIJzkRsThDgg6gHxX6A==">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2877</Words>
  <Characters>16400</Characters>
  <Application>Microsoft Office Word</Application>
  <DocSecurity>0</DocSecurity>
  <Lines>136</Lines>
  <Paragraphs>38</Paragraphs>
  <ScaleCrop>false</ScaleCrop>
  <Company/>
  <LinksUpToDate>false</LinksUpToDate>
  <CharactersWithSpaces>19239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Murray</dc:creator>
  <cp:lastModifiedBy>Clare Murray</cp:lastModifiedBy>
  <cp:revision>2</cp:revision>
  <dcterms:created xsi:type="dcterms:W3CDTF">2026-02-16T22:23:00Z</dcterms:created>
  <dcterms:modified xsi:type="dcterms:W3CDTF">2026-02-16T22:23:00Z</dcterms:modified>
</cp:coreProperties>
</file>